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to be paid to an emergency services district for a municipality's annexation of the district's territory.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775.022(e),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amount of compensation under Subsection (c) shall be determined by multiplying the district's total indebtedness at the time of the annexation by a fraction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numerator of which is the assessed value of the property to be annexed based on the most recent certified county property tax rolls at the time of annexation </w:t>
      </w:r>
      <w:r>
        <w:rPr>
          <w:u w:val="single"/>
        </w:rPr>
        <w:t xml:space="preserve">plus the total amount of the district's sales and use tax revenue collected by retailers located in the property to be annexed in the 12 months preceding the date of annexation, as reported by the comptroller;</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denominator of which is the total assessed value of the property of the district based on the most recent certified county property tax rolls at the time of annexation </w:t>
      </w:r>
      <w:r>
        <w:rPr>
          <w:u w:val="single"/>
        </w:rPr>
        <w:t xml:space="preserve">plus the total amount of the district's sales and use tax revenue collected by retailers located in the district in the 12 months preceding the date of annexation, as reported by the comptroller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