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86R11869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Lang, White, et al.</w:t>
      </w:r>
      <w:r xml:space="preserve">
        <w:tab wTab="150" tlc="none" cTlc="0"/>
      </w:r>
      <w:r>
        <w:t xml:space="preserve">H.B.</w:t>
      </w:r>
      <w:r xml:space="preserve">
        <w:t> </w:t>
      </w:r>
      <w:r>
        <w:t xml:space="preserve">No.</w:t>
      </w:r>
      <w:r xml:space="preserve">
        <w:t> </w:t>
      </w:r>
      <w:r>
        <w:t xml:space="preserve">2271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attorney general to advertise Choose Life account grants.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402.036, Government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The attorney general administers the Choose Life account. The attorney general may spend money credited to the account only to:</w:t>
      </w:r>
    </w:p>
    <w:p w:rsidR="003F3435" w:rsidRDefault="0032493E">
      <w:pPr>
        <w:spacing w:line="480" w:lineRule="auto"/>
        <w:ind w:firstLine="1440"/>
        <w:jc w:val="both"/>
      </w:pPr>
      <w:r>
        <w:t xml:space="preserve">(1)</w:t>
      </w:r>
      <w:r xml:space="preserve">
        <w:t> </w:t>
      </w:r>
      <w:r xml:space="preserve">
        <w:t> </w:t>
      </w:r>
      <w:r>
        <w:t xml:space="preserve">make grants to an eligible organization; and</w:t>
      </w:r>
    </w:p>
    <w:p w:rsidR="003F3435" w:rsidRDefault="0032493E">
      <w:pPr>
        <w:spacing w:line="480" w:lineRule="auto"/>
        <w:ind w:firstLine="1440"/>
        <w:jc w:val="both"/>
      </w:pPr>
      <w:r>
        <w:t xml:space="preserve">(2)</w:t>
      </w:r>
      <w:r xml:space="preserve">
        <w:t> </w:t>
      </w:r>
      <w:r xml:space="preserve">
        <w:t> </w:t>
      </w:r>
      <w:r>
        <w:t xml:space="preserve">defray the cost of administering the account</w:t>
      </w:r>
      <w:r>
        <w:rPr>
          <w:u w:val="single"/>
        </w:rPr>
        <w:t xml:space="preserve">, including the cost of advertising authorized by Subsection (b-1)</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attorney general may advertise that fees paid for the issuance of a license plate in accordance with Section 504.662, Transportation Code, may be used to fund the grants described by Subsection (b)(1), provided that the money spent under this subsection does not exceed two percent of the amount of gross receipts deposited to the Choose Life account during the preceding state fiscal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