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86R11869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2271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attorney general to advertise Choose Life account grants.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402.036,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attorney general administers the Choose Life account. The attorney general may spend money credited to the account only to:</w:t>
      </w:r>
    </w:p>
    <w:p w:rsidR="003F3435" w:rsidRDefault="0032493E">
      <w:pPr>
        <w:spacing w:line="480" w:lineRule="auto"/>
        <w:ind w:firstLine="1440"/>
        <w:jc w:val="both"/>
      </w:pPr>
      <w:r>
        <w:t xml:space="preserve">(1)</w:t>
      </w:r>
      <w:r xml:space="preserve">
        <w:t> </w:t>
      </w:r>
      <w:r xml:space="preserve">
        <w:t> </w:t>
      </w:r>
      <w:r>
        <w:t xml:space="preserve">make grants to an eligible organization;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w:t>
      </w:r>
      <w:r>
        <w:rPr>
          <w:u w:val="single"/>
        </w:rPr>
        <w:t xml:space="preserve">, including the cost of advertising authorized by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attorney general may advertise that fees paid for the issuance of a license plate in accordance with Section 504.662, Transportation Code, may be used to fund the grants described by Subsection (b)(1), provided that the money spent under this subsection does not exceed two percent of the amount of gross receipts deposited to the Choose Life account during the preceding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