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86R10810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2277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for the construction of a natural gas pipeline.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121, Utilities Code, is amended by adding Section 121.105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121.105.</w:t>
      </w:r>
      <w:r>
        <w:rPr>
          <w:u w:val="single"/>
        </w:rPr>
        <w:t xml:space="preserve"> </w:t>
      </w:r>
      <w:r>
        <w:rPr>
          <w:u w:val="single"/>
        </w:rPr>
        <w:t xml:space="preserve"> </w:t>
      </w:r>
      <w:r>
        <w:rPr>
          <w:u w:val="single"/>
        </w:rPr>
        <w:t xml:space="preserve">ENVIRONMENTAL ASSESSMENT BEFORE CONSTRUCTION OF PIPELINE.  A person seeking to construct a pipeline to which this chapter applies may not begin construction of the pipeline unless the person first performs an analysis to identify and assess potential impacts on endangered and threatened species, air and water quality, aquifers, and historic, cultural, and archaeological sites that could result from the construction and operation of the pipeline and delivers the analysis to the railroad commission in writing.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the construction of a pipeline that begins on or after the effective date of this Act. Construction that begins before the effective date of this Act is governed by the law in effect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