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86R5423 JES-F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Parker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2282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applicability of certain limitations on the capture and use of biometric identifiers to financial institutions.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503.001(e), Business &amp; Commerce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This section does not apply to [</w:t>
      </w:r>
      <w:r>
        <w:rPr>
          <w:strike/>
        </w:rPr>
        <w:t xml:space="preserve">voiceprint data retained by</w:t>
      </w:r>
      <w:r>
        <w:t xml:space="preserve">] a financial institution or an affiliate of a financial institution </w:t>
      </w:r>
      <w:r>
        <w:rPr>
          <w:u w:val="single"/>
        </w:rPr>
        <w:t xml:space="preserve">subject to the requirements of Subtitle A, Title V, Gramm-Leach-Bliley Act (15 U.S.C. Sections 6801 to 6809)</w:t>
      </w:r>
      <w:r>
        <w:t xml:space="preserve">[</w:t>
      </w:r>
      <w:r>
        <w:rPr>
          <w:strike/>
        </w:rPr>
        <w:t xml:space="preserve">, as those terms are defined by 15 U.S.C. Section 6809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2282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