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86R11815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2285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penalties assessed against certain nursing facilities for the improper discharge or transfer of a resident.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242, Health and Safety Code, is amended by adding Section 242.0661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242.0661.</w:t>
      </w:r>
      <w:r>
        <w:rPr>
          <w:u w:val="single"/>
        </w:rPr>
        <w:t xml:space="preserve"> </w:t>
      </w:r>
      <w:r>
        <w:rPr>
          <w:u w:val="single"/>
        </w:rPr>
        <w:t xml:space="preserve"> </w:t>
      </w:r>
      <w:r>
        <w:rPr>
          <w:u w:val="single"/>
        </w:rPr>
        <w:t xml:space="preserve">ADMINISTRATIVE PENALTY FOR IMPROPER DISCHARGE OR TRANSFER OF RESIDENT.  (a)  The commission shall assess an administrative penalty under this section against a Medicaid-certified nursing facility that discharges or transfers a resident from the facility in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rule related to the improper discharge or transfer of a resident from a facility or to the return of a resident to a facility following hospitalization;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officer's fair hearing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described by Subsection (a) must be assessed in the following graduated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$2,000 for each day of a continuing violation during the first seven consecutive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 for each day of a continuing violation during the second seven consecutive days;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each day of a continuing violation after the first 14 consecutive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assessing a violation under this section, the first day of a violation is the date the violation is cited at an exit conference following a survey, inspection, or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242.0665 does not apply to a penalty assessed under Subsection (b)(2) or (3).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order a nursing facility that is assessed a penalty under Subsection (b)(3) to immediately suspend admissions until the facility corrects the violation or complies with a hearing officer's fair hearing decision regarding the discharged or transferred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242.0661, Health and Safety Code, as added by this Act, applies only to actions taken by the Health and Human Services Commission and license holders under Chapter 242, Health and Safety Code,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