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86R7990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consequences of engaging in certain conduct with respect to certain firearm accessories and prohibiting the enforcement of certain federal laws related to certain firearm accessories.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Government Code, is amended by adding Chapter 2 to read as follows:</w:t>
      </w:r>
    </w:p>
    <w:p w:rsidR="003F3435" w:rsidRDefault="0032493E">
      <w:pPr>
        <w:spacing w:line="480" w:lineRule="auto"/>
        <w:ind w:firstLine="720"/>
        <w:jc w:val="both"/>
      </w:pPr>
      <w:r>
        <w:rPr>
          <w:u w:val="single"/>
        </w:rPr>
        <w:t xml:space="preserve">CHAPTER 2. ENFORCEMENT OF CERTAIN FEDERAL LAWS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suppressor" means any device designed, made, or adapted to muffle the report of a firearm.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w:t>
      </w:r>
      <w:r>
        <w:rPr>
          <w:u w:val="single"/>
        </w:rPr>
        <w:t xml:space="preserve"> </w:t>
      </w:r>
      <w:r>
        <w:rPr>
          <w:u w:val="single"/>
        </w:rPr>
        <w:t xml:space="preserve"> </w:t>
      </w:r>
      <w:r>
        <w:rPr>
          <w:u w:val="single"/>
        </w:rPr>
        <w:t xml:space="preserve">STATE AND LOCAL GOVERNMENT POLICY REGARDING ENFORCEMENT OF FEDERAL FIREARM LAWS. </w:t>
      </w:r>
      <w:r>
        <w:rPr>
          <w:u w:val="single"/>
        </w:rPr>
        <w:t xml:space="preserve"> </w:t>
      </w:r>
      <w:r>
        <w:rPr>
          <w:u w:val="single"/>
        </w:rPr>
        <w:t xml:space="preserve">(a)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may not adopt a rule, order, ordinance, or policy under which the entity enforces, or by consistent action allows the enforcement of, a federal statute, order, rule, or regulation that purports to regulate a firearm suppressor if the statute, order, rule, or regulation imposes a prohibition, restriction, or other regulation that does not exist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entity described by Subsection (a) and no person employed by or otherwise under the direction or control of the entity may enforce or attempt to enforce any federal statute, order, rule, or regulation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described by Subsection (a) may not receive state grant funds if the entity adopts a rule, order, ordinance, or policy under which the entity enforces a federal law described by Subsection (b) or, by consistent action, allows the enforcement of a federal law described by Subsection (b). </w:t>
      </w:r>
      <w:r>
        <w:rPr>
          <w:u w:val="single"/>
        </w:rPr>
        <w:t xml:space="preserve"> </w:t>
      </w:r>
      <w:r>
        <w:rPr>
          <w:u w:val="single"/>
        </w:rPr>
        <w:t xml:space="preserve">State grant funds for the entity shall be denied for the fiscal year following the year in which a final judicial determination in an action brought under this section is made that the entity has violated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an entity described by Subsection (a) may file a complaint with the attorney general if the citizen offers evidence to support an allegation that the entity has adopted a rule, order, ordinance, or policy under which the entity enforces a federal law described by Subsection (b) or that the entity, by consistent action, allows the enforcement of a federal law described by Subsection (b). </w:t>
      </w:r>
      <w:r>
        <w:rPr>
          <w:u w:val="single"/>
        </w:rPr>
        <w:t xml:space="preserve"> </w:t>
      </w:r>
      <w:r>
        <w:rPr>
          <w:u w:val="single"/>
        </w:rPr>
        <w:t xml:space="preserve">The citizen must include with the complaint any evidence the citizen has in support of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an entity described by Subsection (a) is valid, to compel the entity's compliance with this section the attorney general may file a petition for a writ of mandamus or apply for other appropriate equitable relief in a district court in Travis County or in a county in which the principal office of the entity is located.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46.05(a), Penal Code, as amended by Chapters 155 (H.B. 1819) and 814 (H.B. 913),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knuckles;</w:t>
      </w:r>
    </w:p>
    <w:p w:rsidR="003F3435" w:rsidRDefault="0032493E">
      <w:pPr>
        <w:spacing w:line="480" w:lineRule="auto"/>
        <w:ind w:firstLine="1440"/>
        <w:jc w:val="both"/>
      </w:pPr>
      <w:r>
        <w:t xml:space="preserve">(3)</w:t>
      </w:r>
      <w:r xml:space="preserve">
        <w:t> </w:t>
      </w:r>
      <w:r xml:space="preserve">
        <w:t> </w:t>
      </w:r>
      <w:r>
        <w:t xml:space="preserve">armor-piercing ammunition;</w:t>
      </w:r>
    </w:p>
    <w:p w:rsidR="003F3435" w:rsidRDefault="0032493E">
      <w:pPr>
        <w:spacing w:line="480" w:lineRule="auto"/>
        <w:ind w:firstLine="1440"/>
        <w:jc w:val="both"/>
      </w:pPr>
      <w:r>
        <w:t xml:space="preserve">(4)</w:t>
      </w:r>
      <w:r xml:space="preserve">
        <w:t> </w:t>
      </w:r>
      <w:r xml:space="preserve">
        <w:t> </w:t>
      </w:r>
      <w:r>
        <w:t xml:space="preserve">a chemical dispensing device;</w:t>
      </w:r>
    </w:p>
    <w:p w:rsidR="003F3435" w:rsidRDefault="0032493E">
      <w:pPr>
        <w:spacing w:line="480" w:lineRule="auto"/>
        <w:ind w:firstLine="1440"/>
        <w:jc w:val="both"/>
      </w:pPr>
      <w:r>
        <w:t xml:space="preserve">(5)</w:t>
      </w:r>
      <w:r xml:space="preserve">
        <w:t> </w:t>
      </w:r>
      <w:r xml:space="preserve">
        <w:t> </w:t>
      </w:r>
      <w:r>
        <w:t xml:space="preserve">a zip gun;</w:t>
      </w:r>
    </w:p>
    <w:p w:rsidR="003F3435" w:rsidRDefault="0032493E">
      <w:pPr>
        <w:spacing w:line="480" w:lineRule="auto"/>
        <w:ind w:firstLine="1440"/>
        <w:jc w:val="both"/>
      </w:pPr>
      <w:r>
        <w:t xml:space="preserve">(6)</w:t>
      </w:r>
      <w:r xml:space="preserve">
        <w:t> </w:t>
      </w:r>
      <w:r xml:space="preserve">
        <w:t> </w:t>
      </w:r>
      <w:r>
        <w:t xml:space="preserve">a tire deflation device; or</w:t>
      </w:r>
    </w:p>
    <w:p w:rsidR="003F3435" w:rsidRDefault="0032493E">
      <w:pPr>
        <w:spacing w:line="480" w:lineRule="auto"/>
        <w:ind w:firstLine="1440"/>
        <w:jc w:val="both"/>
      </w:pPr>
      <w:r>
        <w:t xml:space="preserve">(7)</w:t>
      </w:r>
      <w:r xml:space="preserve">
        <w:t> </w:t>
      </w:r>
      <w:r xml:space="preserve">
        <w:t> </w:t>
      </w:r>
      <w:r>
        <w:t xml:space="preserve">[</w:t>
      </w:r>
      <w:r>
        <w:rPr>
          <w:strike/>
        </w:rPr>
        <w:t xml:space="preserve">a firearm silencer, unless the firearm silencer is classified as a curio or relic by the United States Department of Justice or the actor otherwise possesses, manufactures, transports, repairs, or sells the firearm silencer in compliance with federal law</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an improvised explosive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46.05(e), Penal Code, as amended by Chapters 155 (H.B. 1819) and 814 (H.B. 913), Acts of the 85th Legislature, Regular Session, 2017, is reenacted to read as follows:</w:t>
      </w:r>
    </w:p>
    <w:p w:rsidR="003F3435" w:rsidRDefault="0032493E">
      <w:pPr>
        <w:spacing w:line="480" w:lineRule="auto"/>
        <w:ind w:firstLine="720"/>
        <w:jc w:val="both"/>
      </w:pPr>
      <w:r>
        <w:t xml:space="preserve">(e)</w:t>
      </w:r>
      <w:r xml:space="preserve">
        <w:t> </w:t>
      </w:r>
      <w:r xml:space="preserve">
        <w:t> </w:t>
      </w:r>
      <w:r>
        <w:t xml:space="preserve">An offense under Subsection (a)(1), (3), (4), (5), or (7) is a felony of the third degree.  An offense under Subsection (a)(6) is a state jail felony.  An offense under Subsection (a)(2) is a Class A misdemeanor.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46.01(4), Penal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controls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An offense under Section 46.05(a)(7), Penal Code, as added by Chapter 155 (H.B. 1819), Acts of the 85th Legislature, Regular Session, 2017, may not be prosecuted after the effective date of this Act.  If on the effective date of this Act a criminal action is pending for an offense described by that subdivision, the action is dismissed on that date.  However, a final conviction for an offense described by that subdivision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