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of certain housing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392, Local Government Code, is amended by adding Section 392.020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392.020.</w:t>
      </w:r>
      <w:r>
        <w:rPr>
          <w:u w:val="single"/>
        </w:rPr>
        <w:t xml:space="preserve"> </w:t>
      </w:r>
      <w:r>
        <w:rPr>
          <w:u w:val="single"/>
        </w:rPr>
        <w:t xml:space="preserve"> </w:t>
      </w:r>
      <w:r>
        <w:rPr>
          <w:u w:val="single"/>
        </w:rPr>
        <w:t xml:space="preserve">Operation of Certain Municipal Housing Authorities in a County Area. (a) This section applies only to the operation of a housing authority operating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that has a population of 800,000 or more and is located on the international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municipality that has a population of more than 600,000 and is located in a county described by Subsection (a)(1).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municipal housing authority under this chapter may conduct its operation in the municipality described in Subsection (a)(2) as well as the county described in Subsection (a)(1), excluding any parts of the county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the territorial boundaries of another municipality not described in Subsection (a)(2);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a public housing authority under this  chapter operates.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392.014 of this Chapter shall not apply to a  municipal housing authority operating pursuant to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