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86R10887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Bailes, Leman</w:t>
      </w:r>
      <w:r xml:space="preserve">
        <w:tab wTab="150" tlc="none" cTlc="0"/>
      </w:r>
      <w:r>
        <w:t xml:space="preserve">H.B.</w:t>
      </w:r>
      <w:r xml:space="preserve">
        <w:t> </w:t>
      </w:r>
      <w:r>
        <w:t xml:space="preserve">No.</w:t>
      </w:r>
      <w:r xml:space="preserve">
        <w:t> </w:t>
      </w:r>
      <w:r>
        <w:t xml:space="preserve">2290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of a slow-moving-vehicle emblem.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w:t>
      </w:r>
      <w:r>
        <w:rPr>
          <w:u w:val="single"/>
        </w:rPr>
        <w:t xml:space="preserve">and</w:t>
      </w:r>
      <w:r>
        <w:t xml:space="preserve"> at a height </w:t>
      </w:r>
      <w:r>
        <w:rPr>
          <w:u w:val="single"/>
        </w:rPr>
        <w:t xml:space="preserve">that does not impair the visibility of the emblem</w:t>
      </w:r>
      <w:r>
        <w:t xml:space="preserve"> [</w:t>
      </w:r>
      <w:r>
        <w:rPr>
          <w:strike/>
        </w:rPr>
        <w:t xml:space="preserve">from three to five feet above the road surface</w:t>
      </w:r>
      <w:r>
        <w:t xml:space="preserve">];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