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w:t xml:space="preserve"> (Senate Sponsor</w:t>
      </w:r>
      <w:r xml:space="preserve">
        <w:t> </w:t>
      </w:r>
      <w:r>
        <w:t xml:space="preserve">-</w:t>
      </w:r>
      <w:r xml:space="preserve">
        <w:t> </w:t>
      </w:r>
      <w:r>
        <w:t xml:space="preserve">Flores)</w:t>
      </w:r>
      <w:r xml:space="preserve">
        <w:tab wTab="150" tlc="none" cTlc="0"/>
      </w:r>
      <w:r>
        <w:t xml:space="preserve">H.B.</w:t>
      </w:r>
      <w:r xml:space="preserve">
        <w:t> </w:t>
      </w:r>
      <w:r>
        <w:t xml:space="preserve">No.</w:t>
      </w:r>
      <w:r xml:space="preserve">
        <w:t> </w:t>
      </w:r>
      <w:r>
        <w:t xml:space="preserve">2299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Health &amp; Human Services; May</w:t>
      </w:r>
      <w:r xml:space="preserve">
        <w:t> </w:t>
      </w:r>
      <w:r>
        <w:t xml:space="preserve">17,</w:t>
      </w:r>
      <w:r xml:space="preserve">
        <w:t> </w:t>
      </w:r>
      <w:r>
        <w:t xml:space="preserve">2019, reported favorably by the following vote:</w:t>
      </w:r>
      <w:r>
        <w:t xml:space="preserve"> </w:t>
      </w:r>
      <w:r>
        <w:t xml:space="preserve"> </w:t>
      </w:r>
      <w:r>
        <w:t xml:space="preserve">Yeas 9,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exemption from licensing requirements for physicians associated with certain sports teams.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151, Occupations Code, is amended by adding Section 151.0521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151.0521.</w:t>
      </w:r>
      <w:r>
        <w:rPr>
          <w:u w:val="single"/>
        </w:rPr>
        <w:t xml:space="preserve"> </w:t>
      </w:r>
      <w:r>
        <w:rPr>
          <w:u w:val="single"/>
        </w:rPr>
        <w:t xml:space="preserve"> </w:t>
      </w:r>
      <w:r>
        <w:rPr>
          <w:u w:val="single"/>
        </w:rPr>
        <w:t xml:space="preserve">EXEMPTION FOR SPORTS TEAM PHYSICIAN.  A person is exempt from the licensing requirements of this subtitle and may engage in the practice of medicine in this state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or designated as a team physician by a sports team visiting this state for a specific sporting event;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licensed to practice medicine in the team's home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limits the person's practice of medicine in this state to treating, during the period beginning on the date the team arrives in this state for the event and ending on the date the team leaves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members, coaches, and staff of the team;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family member of a person described by Paragraph (A) if the family member is visiting this state for the event.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451.003, Occupations Code, is amended to read as follows:</w:t>
      </w:r>
    </w:p>
    <w:p w:rsidR="003F3435" w:rsidRDefault="0032493E">
      <w:pPr>
        <w:spacing w:line="480" w:lineRule="auto"/>
        <w:ind w:firstLine="720"/>
        <w:jc w:val="both"/>
      </w:pPr>
      <w:r>
        <w:t xml:space="preserve">Sec.</w:t>
      </w:r>
      <w:r xml:space="preserve">
        <w:t> </w:t>
      </w:r>
      <w:r>
        <w:t xml:space="preserve">451.003.</w:t>
      </w:r>
      <w:r xml:space="preserve">
        <w:t> </w:t>
      </w:r>
      <w:r xml:space="preserve">
        <w:t> </w:t>
      </w:r>
      <w:r>
        <w:t xml:space="preserve">APPLICABILITY.  This chapter does not apply to:</w:t>
      </w:r>
    </w:p>
    <w:p w:rsidR="003F3435" w:rsidRDefault="0032493E">
      <w:pPr>
        <w:spacing w:line="480" w:lineRule="auto"/>
        <w:ind w:firstLine="1440"/>
        <w:jc w:val="both"/>
      </w:pPr>
      <w:r>
        <w:t xml:space="preserve">(1)</w:t>
      </w:r>
      <w:r xml:space="preserve">
        <w:t> </w:t>
      </w:r>
      <w:r xml:space="preserve">
        <w:t> </w:t>
      </w:r>
      <w:r>
        <w:t xml:space="preserve">a physician licensed by the Texas Medical Board </w:t>
      </w:r>
      <w:r>
        <w:rPr>
          <w:u w:val="single"/>
        </w:rPr>
        <w:t xml:space="preserve">or engaged in the practice of medicine as authorized by Section 151.0521</w:t>
      </w:r>
      <w:r>
        <w:t xml:space="preserve">;</w:t>
      </w:r>
    </w:p>
    <w:p w:rsidR="003F3435" w:rsidRDefault="0032493E">
      <w:pPr>
        <w:spacing w:line="480" w:lineRule="auto"/>
        <w:ind w:firstLine="1440"/>
        <w:jc w:val="both"/>
      </w:pPr>
      <w:r>
        <w:t xml:space="preserve">(2)</w:t>
      </w:r>
      <w:r xml:space="preserve">
        <w:t> </w:t>
      </w:r>
      <w:r xml:space="preserve">
        <w:t> </w:t>
      </w:r>
      <w:r>
        <w:t xml:space="preserve">a dentist, licensed under the laws of this state, engaged in the practice of dentistry;</w:t>
      </w:r>
    </w:p>
    <w:p w:rsidR="003F3435" w:rsidRDefault="0032493E">
      <w:pPr>
        <w:spacing w:line="480" w:lineRule="auto"/>
        <w:ind w:firstLine="1440"/>
        <w:jc w:val="both"/>
      </w:pPr>
      <w:r>
        <w:t xml:space="preserve">(3)</w:t>
      </w:r>
      <w:r xml:space="preserve">
        <w:t> </w:t>
      </w:r>
      <w:r xml:space="preserve">
        <w:t> </w:t>
      </w:r>
      <w:r>
        <w:t xml:space="preserve">a licensed optometrist or therapeutic optometrist engaged in the practice of optometry or therapeutic optometry as defined by statute;</w:t>
      </w:r>
    </w:p>
    <w:p w:rsidR="003F3435" w:rsidRDefault="0032493E">
      <w:pPr>
        <w:spacing w:line="480" w:lineRule="auto"/>
        <w:ind w:firstLine="1440"/>
        <w:jc w:val="both"/>
      </w:pPr>
      <w:r>
        <w:t xml:space="preserve">(4)</w:t>
      </w:r>
      <w:r xml:space="preserve">
        <w:t> </w:t>
      </w:r>
      <w:r xml:space="preserve">
        <w:t> </w:t>
      </w:r>
      <w:r>
        <w:t xml:space="preserve">an occupational therapist engaged in the practice of occupational therapy;</w:t>
      </w:r>
    </w:p>
    <w:p w:rsidR="003F3435" w:rsidRDefault="0032493E">
      <w:pPr>
        <w:spacing w:line="480" w:lineRule="auto"/>
        <w:ind w:firstLine="1440"/>
        <w:jc w:val="both"/>
      </w:pPr>
      <w:r>
        <w:t xml:space="preserve">(5)</w:t>
      </w:r>
      <w:r xml:space="preserve">
        <w:t> </w:t>
      </w:r>
      <w:r xml:space="preserve">
        <w:t> </w:t>
      </w:r>
      <w:r>
        <w:t xml:space="preserve">a nurse engaged in the practice of nursing;</w:t>
      </w:r>
    </w:p>
    <w:p w:rsidR="003F3435" w:rsidRDefault="0032493E">
      <w:pPr>
        <w:spacing w:line="480" w:lineRule="auto"/>
        <w:ind w:firstLine="1440"/>
        <w:jc w:val="both"/>
      </w:pPr>
      <w:r>
        <w:t xml:space="preserve">(6)</w:t>
      </w:r>
      <w:r xml:space="preserve">
        <w:t> </w:t>
      </w:r>
      <w:r xml:space="preserve">
        <w:t> </w:t>
      </w:r>
      <w:r>
        <w:t xml:space="preserve">a licensed podiatrist engaged in the practice of podiatry as defined by statute;</w:t>
      </w:r>
    </w:p>
    <w:p w:rsidR="003F3435" w:rsidRDefault="0032493E">
      <w:pPr>
        <w:spacing w:line="480" w:lineRule="auto"/>
        <w:ind w:firstLine="1440"/>
        <w:jc w:val="both"/>
      </w:pPr>
      <w:r>
        <w:t xml:space="preserve">(7)</w:t>
      </w:r>
      <w:r xml:space="preserve">
        <w:t> </w:t>
      </w:r>
      <w:r xml:space="preserve">
        <w:t> </w:t>
      </w:r>
      <w:r>
        <w:t xml:space="preserve">a physical therapist engaged in the practice of physical therapy;</w:t>
      </w:r>
    </w:p>
    <w:p w:rsidR="003F3435" w:rsidRDefault="0032493E">
      <w:pPr>
        <w:spacing w:line="480" w:lineRule="auto"/>
        <w:ind w:firstLine="1440"/>
        <w:jc w:val="both"/>
      </w:pPr>
      <w:r>
        <w:t xml:space="preserve">(8)</w:t>
      </w:r>
      <w:r xml:space="preserve">
        <w:t> </w:t>
      </w:r>
      <w:r xml:space="preserve">
        <w:t> </w:t>
      </w:r>
      <w:r>
        <w:t xml:space="preserve">a registered massage therapist engaged in the practice of massage therapy;</w:t>
      </w:r>
    </w:p>
    <w:p w:rsidR="003F3435" w:rsidRDefault="0032493E">
      <w:pPr>
        <w:spacing w:line="480" w:lineRule="auto"/>
        <w:ind w:firstLine="1440"/>
        <w:jc w:val="both"/>
      </w:pPr>
      <w:r>
        <w:t xml:space="preserve">(9)</w:t>
      </w:r>
      <w:r xml:space="preserve">
        <w:t> </w:t>
      </w:r>
      <w:r xml:space="preserve">
        <w:t> </w:t>
      </w:r>
      <w:r>
        <w:t xml:space="preserve">a commissioned or contract physician, physical therapist, or physical therapist assistant in the United States Army, Navy, Air Force, or Public Health Service; or</w:t>
      </w:r>
    </w:p>
    <w:p w:rsidR="003F3435" w:rsidRDefault="0032493E">
      <w:pPr>
        <w:spacing w:line="480" w:lineRule="auto"/>
        <w:ind w:firstLine="1440"/>
        <w:jc w:val="both"/>
      </w:pPr>
      <w:r>
        <w:t xml:space="preserve">(10)</w:t>
      </w:r>
      <w:r xml:space="preserve">
        <w:t> </w:t>
      </w:r>
      <w:r xml:space="preserve">
        <w:t> </w:t>
      </w:r>
      <w:r>
        <w:t xml:space="preserve">an athletic trainer who does not live in this state, who is licensed, registered, or certified by an authority recognized by the department, and who provides athletic training in this state for a period determined by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