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2320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services provided during and following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418, Government Code, is amended by adding Sections 418.054, 418.055, and 418.056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COMMUNICATIONS IMMEDIATELY FOLLOWING A DISASTER.  The division, in collaboration with other appropriate entities selected by the division, shall to the extent practicable include private wireless communication, Internet, and cable service providers in the disaster planning process and determine the availability of the providers' portable satellite communications equipment and portable mobile telephone towers to assist in response and recovery immediately following disasters.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418.055.</w:t>
      </w:r>
      <w:r>
        <w:rPr>
          <w:u w:val="single"/>
        </w:rPr>
        <w:t xml:space="preserve"> </w:t>
      </w:r>
      <w:r>
        <w:rPr>
          <w:u w:val="single"/>
        </w:rPr>
        <w:t xml:space="preserve"> </w:t>
      </w:r>
      <w:r>
        <w:rPr>
          <w:u w:val="single"/>
        </w:rPr>
        <w:t xml:space="preserve">HARDENING OF UTILITY FACILITIES AND CRITICAL INFRASTRUCTURE.  (a)  In this section, "critical infrastructure" includes hospitals and fire stations.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identify methods for hardening utility facilities and critical infrastructure in order to maintain operations of essential services during disasters.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shall, in collaboration with the Texas Commission on Environmental Quality, the Railroad Commission of Texas, and any other state agencies selected by the division: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methods for effectively reducing risks and impacts on utility facilities and critical infrastructure from a disaster;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encourage public and private entities that are responsible for utility facilities and critical infrastructure to implement the methods determined under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 utility facility owned or controlled by a utility regulated by the Public Utility Commission of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418.056.</w:t>
      </w:r>
      <w:r>
        <w:rPr>
          <w:u w:val="single"/>
        </w:rPr>
        <w:t xml:space="preserve"> </w:t>
      </w:r>
      <w:r>
        <w:rPr>
          <w:u w:val="single"/>
        </w:rPr>
        <w:t xml:space="preserve"> </w:t>
      </w:r>
      <w:r>
        <w:rPr>
          <w:u w:val="single"/>
        </w:rPr>
        <w:t xml:space="preserve">REPORT ON BUILDING TRADE SERVICES FOLLOWING DISASTERS.  (a) Not later than November 1, 2020, the division shall submit a report to members of the legislature on improving the oversight, accountability, and availability of building trade services following disasters.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strategies to increase the availability of tradespeople, including plumbers and electricians, following a disaster;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approaches to increase prosecutions of alleged fraud related to building trade services offered following a disaster;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methods to encourage performance bond requirements in contracts for building trade services to be performed following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consult with the Texas Department of Licensing and Regulation and any other state agencies selected by the division, local governments, trade associations, and law enforcement groups in preparing the report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January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17, Utilities Code, is amended by adding Section 17.010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17.010.</w:t>
      </w:r>
      <w:r>
        <w:rPr>
          <w:u w:val="single"/>
        </w:rPr>
        <w:t xml:space="preserve"> </w:t>
      </w:r>
      <w:r>
        <w:rPr>
          <w:u w:val="single"/>
        </w:rPr>
        <w:t xml:space="preserve"> </w:t>
      </w:r>
      <w:r>
        <w:rPr>
          <w:u w:val="single"/>
        </w:rPr>
        <w:t xml:space="preserve">DISASTER BILLING AWARENESS.  The commission in cooperation with the Texas Division of Emergency Management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public awareness of bill payment assistance available during a disaster for electric, water, and wastewater services, including assistance for consumers on level billing plans;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public with information about billing practices during a disaster to ensure that consumers of electric, water, and wastewater services have an adequate understanding of their rights.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2019, the Texas Division of Emergency Management and the Public Utility Commission of Texas shall begin the public awareness campaign required by Section 17.010, Utilities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2320 was passed by the House on April 11, 2019, by the following vote:</w:t>
      </w:r>
      <w:r xml:space="preserve">
        <w:t> </w:t>
      </w:r>
      <w:r xml:space="preserve">
        <w:t> </w:t>
      </w:r>
      <w:r>
        <w:t xml:space="preserve">Yeas 146,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2320 was passed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