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2320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17,</w:t>
      </w:r>
      <w:r xml:space="preserve">
        <w:t> </w:t>
      </w:r>
      <w:r>
        <w:t xml:space="preserve">2019, read first time and referred to Committee on Business &amp; Commerce; May</w:t>
      </w:r>
      <w:r xml:space="preserve">
        <w:t> </w:t>
      </w:r>
      <w:r>
        <w:t xml:space="preserve">10,</w:t>
      </w:r>
      <w:r xml:space="preserve">
        <w:t> </w:t>
      </w:r>
      <w:r>
        <w:t xml:space="preserve">2019, reported favorably by the following vote:</w:t>
      </w:r>
      <w:r>
        <w:t xml:space="preserve"> </w:t>
      </w:r>
      <w:r>
        <w:t xml:space="preserve"> </w:t>
      </w:r>
      <w:r>
        <w:t xml:space="preserve">Yeas 8,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services provided during and following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and 418.056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COMMUNICATIONS IMMEDIATELY FOLLOWING A DISASTER.  The division, in collaboration with other appropriate entities selected by the division, shall to the extent practicable include private wireless communication, Internet, and cable service providers in the disaster planning process and determine the availability of the providers' portable satellite communications equipment and portable mobile telephone towers to assist in response and recovery immediately following disasters.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HARDENING OF UTILITY FACILITIES AND CRITICAL INFRASTRUCTURE.  (a)  In this section, "critical infrastructure" includes hospitals and fire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identify methods for hardening utility facilities and critical infrastructure in order to maintain operations of essential services during disasters.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in collaboration with the Texas Commission on Environmental Quality, the Railroad Commission of Texas, and any other state agencies selected by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methods for effectively reducing risks and impacts on utility facilities and critical infrastructure from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public and private entities that are responsible for utility facilities and critical infrastructure to implement the methods determined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utility facility owned or controlled by a utility regulated by the Public Utility Commission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REPORT ON BUILDING TRADE SERVICES FOLLOWING DISASTERS.  (a) Not later than November 1, 2020, the division shall submit a report to members of the legislature on improving the oversight, accountability, and availability of building trade services following disasters.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strategies to increase the availability of tradespeople, including plumbers and electricians, following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approaches to increase prosecutions of alleged fraud related to building trade services offered following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methods to encourage performance bond requirements in contracts for building trade services to be performed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Texas Department of Licensing and Regulation and any other state agencies selected by the division, local governments, trade associations, and law enforcement groups in preparing the report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17, Utilities Code, is amended by adding Section 17.010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w:t>
      </w:r>
      <w:r>
        <w:rPr>
          <w:u w:val="single"/>
        </w:rPr>
        <w:t xml:space="preserve"> </w:t>
      </w:r>
      <w:r>
        <w:rPr>
          <w:u w:val="single"/>
        </w:rPr>
        <w:t xml:space="preserve"> </w:t>
      </w:r>
      <w:r>
        <w:rPr>
          <w:u w:val="single"/>
        </w:rPr>
        <w:t xml:space="preserve">DISASTER BILLING AWARENESS.  The commission in cooperation with the Texas Division of Emergency Management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public awareness of bill payment assistance available during a disaster for electric, water, and wastewater services, including assistance for consumers on level billing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public with information about billing practices during a disaster to ensure that consumers of electric, water, and wastewater services have an adequate understanding of their rights.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Division of Emergency Management and the Public Utility Commission of Texas shall begin the public awareness campaign required by Section 17.010, Utilities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