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86R11274 JSC-F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Vo</w:t>
      </w:r>
      <w:r xml:space="preserve">
        <w:tab wTab="150" tlc="none" cTlc="0"/>
      </w:r>
      <w:r>
        <w:t xml:space="preserve">H.B.</w:t>
      </w:r>
      <w:r xml:space="preserve">
        <w:t> </w:t>
      </w:r>
      <w:r>
        <w:t xml:space="preserve">No.</w:t>
      </w:r>
      <w:r xml:space="preserve">
        <w:t> </w:t>
      </w:r>
      <w:r>
        <w:t xml:space="preserve">2322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unemployment contributions paid by a common paymaster on behalf of more than one employer.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204, Labor Code, is amended by adding Section 204.011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204.011.</w:t>
      </w:r>
      <w:r>
        <w:rPr>
          <w:u w:val="single"/>
        </w:rPr>
        <w:t xml:space="preserve"> </w:t>
      </w:r>
      <w:r>
        <w:rPr>
          <w:u w:val="single"/>
        </w:rPr>
        <w:t xml:space="preserve"> </w:t>
      </w:r>
      <w:r>
        <w:rPr>
          <w:u w:val="single"/>
        </w:rPr>
        <w:t xml:space="preserve">COMMON PAYMASTER.  (a) </w:t>
      </w:r>
      <w:r>
        <w:rPr>
          <w:u w:val="single"/>
        </w:rPr>
        <w:t xml:space="preserve"> </w:t>
      </w:r>
      <w:r>
        <w:rPr>
          <w:u w:val="single"/>
        </w:rPr>
        <w:t xml:space="preserve">In this section, "common paymaster" has the meaning assigned by 26 C.F.R. Section 31.3121(s)-1.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 201.046, a common paymaster may report wages and pay contributions to the commission on behalf of each employer served by the common paymaster.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employee who provides services for more than one employer served by a common paymaster is considered to be employed by a single employing unit for purposes of determining taxable wages of that employee.  The taxable wages must be apportioned among the employers in proportion to the amount of time the employee spent working with each employer during the reporting period.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affect the tax rate applied to each employer served by the common paymaster.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adopt rules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Workforce Commission shall adopt rules necessary to implement Section 204.011, Labor Code, as added by this Act, not later than December 1, 2019.</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wages paid for services provided on or after January 1, 2020.  Wages paid for services provided before that date are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2322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