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of certain medical care and health care services by certain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843, Insurance Code, is amended by adding Sections 843.3481, 843.3482, 843.3483, and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conspicuously posted in a location on the Internet website that does not require the use of a log-in or other input of personal information to view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the applicable screening criteria using Current Procedural Terminology codes and International Classification of Diseases codes;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statistics showing the health maintenance organization's preauthorization approvals and denials, including for each approval or denial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 specialty;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medication, diagnostic test, or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indication offered;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 for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  Not later than the 60th day before the date a new or amended preauthorization requirement takes effect, a health maintenance organization that uses a preauthorization process for health care services shall provide each participating physician or provider written notice of the new or amended preauthorization requirement and disclose the new or amended requirement in the health maintenance organization's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update its Internet website to disclose any change to the health maintenance organization's preauthorization requirements or process and the date and time the change is effective.  A new or amended preauthorization requirement may not take effect before the fifth day after the date the health maintenance organization's Internet website is updated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maintenance organization is not required to comply with Subsection (a) or (b) for a change in a preauthorization requirement or process that removes a health care service from the list of services requiring preauthorization or amends a preauthorization requirement in a way that is less burdensome to enrollees and participating physicians and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EXEMPTION FROM PREAUTHORIZATION REQUIREMENTS.  A health maintenance organization that uses a preauthorization process for health care services may not require a physician or provider to obtain preauthorization for health care services if the physician or provider establishes in accordance with standards adopted by the commissioner by rule that the physician or provider routinely submitted claims to the health maintenance organization that were consistent with national evidence-based guidelines and that were preauthorized by the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REMEDY FOR NONCOMPLIANCE; AUTOMATIC PREAUTHORIZATION.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waives the health maintenance organizations preauthorization requirements with respect to any health care service affected by the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C-1, Chapter 1301, Insurance Code, is amended by adding Sections 1301.1351, 1301.1352, 1301.1353, and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conspicuously posted in a location on the Internet website that does not require the use of a log-in or other input of personal information to view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the applicable screening criteria using Current Procedural Terminology codes and International Classification of Diseases codes;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statistics showing the insurer's preauthorization approvals and denials, including for each approval or denial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 specialty;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medication, diagnostic test, or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indication offered;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reason for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  Not later than the 60th day before the date a new or amended preauthorization requirement takes effect, an insurer that uses a preauthorization process for medical care or health care services shall provide to each preferred provider written notice of the new or amended preauthorization requirement and disclose the new or amended requirement in the insurer's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update its Internet website to disclose any change to the insurer's preauthorization requirements or process and the date and time the change is effective.  A new or amended preauthorization requirement may not take effect before the fifth day after the date the insurer's Internet website is updated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is not required to comply with Subsection (a) or (b) for a change in a preauthorization requirement or process that removes a medical care or health care service from the list of services requiring preauthorization or amends a preauthorization requirement in a way that is less burdensome to insureds, physicians, and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EXEMPTION FROM PREAUTHORIZATION REQUIREMENTS.  An insurer that uses a preauthorization process for medical care or health care services may not require a physician or health care provider to obtain preauthorization for medical care or health care services if the physician or health care provider establishes in accordance with standards adopted by the commissioner by rule that the physician or health care provider routinely submitted claims to the insurer that were consistent with national evidence-based guidelines and that were preauthorized by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REMEDY FOR NONCOMPLIANCE; AUTOMATIC PREAUTHORIZATION.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waives the insurer's preauthorization requirements with respect to any medical care or health care service affected by the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request for preauthorization of medical care or health care services made on or after January 1, 2020.  A request for preauthorization of medical care or health care services made before January 1, 2020, under a health benefit plan delivered, issued for delivery,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