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xml:space="preserve">
        <w:tab wTab="150" tlc="none" cTlc="0"/>
      </w:r>
      <w:r>
        <w:t xml:space="preserve">H.B.</w:t>
      </w:r>
      <w:r xml:space="preserve">
        <w:t> </w:t>
      </w:r>
      <w:r>
        <w:t xml:space="preserve">No.</w:t>
      </w:r>
      <w:r xml:space="preserve">
        <w:t> </w:t>
      </w:r>
      <w:r>
        <w:t xml:space="preserve">2330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an intake system and state case management system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 and</w:t>
      </w:r>
    </w:p>
    <w:p w:rsidR="003F3435" w:rsidRDefault="0032493E">
      <w:pPr>
        <w:spacing w:line="480" w:lineRule="auto"/>
        <w:ind w:firstLine="1440"/>
        <w:jc w:val="both"/>
      </w:pPr>
      <w:r>
        <w:t xml:space="preserve">(3)</w:t>
      </w:r>
      <w:r xml:space="preserve">
        <w:t> </w:t>
      </w:r>
      <w:r xml:space="preserve">
        <w:t> </w:t>
      </w:r>
      <w:r>
        <w:t xml:space="preserve">a state case management system for disaster assistance, administered by the commission, that is similar to the Federal Emergency Management Agency case management system and includes contracting with nonprofit vendors to hire caseworkers and provide case management services.</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w:t>
      </w:r>
    </w:p>
    <w:p w:rsidR="003F3435" w:rsidRDefault="0032493E">
      <w:pPr>
        <w:spacing w:line="480" w:lineRule="auto"/>
        <w:ind w:firstLine="1440"/>
        <w:jc w:val="both"/>
      </w:pPr>
      <w:r>
        <w:t xml:space="preserve">(1)</w:t>
      </w:r>
      <w:r xml:space="preserve">
        <w:t> </w:t>
      </w:r>
      <w:r xml:space="preserve">
        <w:t> </w:t>
      </w:r>
      <w:r>
        <w:t xml:space="preserve">whether the Federal Emergency Management Agency and other appropriate state and federal agencies will accept the single intake form;</w:t>
      </w:r>
    </w:p>
    <w:p w:rsidR="003F3435" w:rsidRDefault="0032493E">
      <w:pPr>
        <w:spacing w:line="480" w:lineRule="auto"/>
        <w:ind w:firstLine="1440"/>
        <w:jc w:val="both"/>
      </w:pPr>
      <w:r>
        <w:t xml:space="preserve">(2)</w:t>
      </w:r>
      <w:r xml:space="preserve">
        <w:t> </w:t>
      </w:r>
      <w:r xml:space="preserve">
        <w:t> </w:t>
      </w:r>
      <w:r>
        <w:t xml:space="preserve">the cost of developing the single intake form and the cost of developing and maintaining the automated intake system; and</w:t>
      </w:r>
    </w:p>
    <w:p w:rsidR="003F3435" w:rsidRDefault="0032493E">
      <w:pPr>
        <w:spacing w:line="480" w:lineRule="auto"/>
        <w:ind w:firstLine="1440"/>
        <w:jc w:val="both"/>
      </w:pPr>
      <w:r>
        <w:t xml:space="preserve">(3)</w:t>
      </w:r>
      <w:r xml:space="preserve">
        <w:t> </w:t>
      </w:r>
      <w:r xml:space="preserve">
        <w:t> </w:t>
      </w:r>
      <w:r>
        <w:t xml:space="preserve">the cost of developing and maintaining a state case management system and the extent to which federal reimbursement is available.</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The commission and the division may implement the single intake form, automated intake system, and state case management system if the commission and the division determine, based on the study conducted under Subsection (b) of this section, that doing so will result in no additional cost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