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2333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ambulance response safety net program; imposing a mandatory payment;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773.003, Health and Safety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773, Health and Safety Code, is amended by adding Subchapter J to read as follows:</w:t>
      </w:r>
    </w:p>
    <w:p w:rsidR="003F3435" w:rsidRDefault="0032493E">
      <w:pPr>
        <w:spacing w:line="480" w:lineRule="auto"/>
        <w:jc w:val="center"/>
      </w:pPr>
      <w:r>
        <w:rPr>
          <w:u w:val="single"/>
        </w:rPr>
        <w:t xml:space="preserve">SUBCHAPTER J.  TEXAS AMBULANCE RESPONSE SAFETY NET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773.301.</w:t>
      </w:r>
      <w:r>
        <w:rPr>
          <w:u w:val="single"/>
        </w:rPr>
        <w:t xml:space="preserve"> </w:t>
      </w:r>
      <w:r>
        <w:rPr>
          <w:u w:val="single"/>
        </w:rPr>
        <w:t xml:space="preserve"> </w:t>
      </w:r>
      <w:r>
        <w:rPr>
          <w:u w:val="single"/>
        </w:rPr>
        <w:t xml:space="preserve">PURPOSE.  The purpose of this subchapter is to authorize the commission to establish and administer the Texas ambulance response safety net program as a self-funded ground transport emergency medical services provider participation program for ground transport emergency medical services providers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"Average commercial rate" means the average amount payable by commercial payors for the same services. </w:t>
      </w:r>
      <w:r>
        <w:rPr>
          <w:u w:val="single"/>
        </w:rPr>
        <w:t xml:space="preserve"> </w:t>
      </w:r>
      <w:r>
        <w:rPr>
          <w:u w:val="single"/>
        </w:rPr>
        <w:t xml:space="preserve">The rate is calculated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aligning the paid Medicaid claims with the Medicare fees for each Healthcare Common Procedure Coding System code or Current Procedural Terminology code for a ground transport emergency medical services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calculating the Medicare payment for the claims described in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calculating a commercial-to-Medicare conversion factor for each ground transport emergency medical services provider by dividing the total amount of the average commercial payments for the claims by the total Medicare payments for the claims;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recalculating at least once every three years the commercial-to-Medicare ratio for ground transport emergency medical services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 patient revenue" means a ground transport emergency medical services provider's estimated net realizable revenue from patients, third-party payors, and other entities for ground transport emergency medical services rendered, including estimated retroactive adjustments required by reimbursement agreements with third-party payors.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amounts the provider reduces for payors who have a fee schedule established by federal or state statute or a contractual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received by the provider, including any payments for individuals who are dually eligible for Medicaid and Medicare;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amounts the provider reduces to zero as an uncollectible payment from any payor that are not contractual allowances, provided that the provider attempted to collect the payment;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amounts related to ground transport emergency medical services that are waived or forgiven by a paying entity due to the financial hardship of the patient, provided that the waiver or forgiveness is implemented in accordance with a written policy of the entity that is consistent with national standards adopted by the Healthcare Financial Management Association or a similar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only to a ground transport emergency medical services provider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as an emergency medical services provider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nonfederal provider of ground transport emergency medical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participant in the state Medicaid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only nonemergency ground transport ambulance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required to hold a license under Section 773.045(b).</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773.304.</w:t>
      </w:r>
      <w:r>
        <w:rPr>
          <w:u w:val="single"/>
        </w:rPr>
        <w:t xml:space="preserve"> </w:t>
      </w:r>
      <w:r>
        <w:rPr>
          <w:u w:val="single"/>
        </w:rPr>
        <w:t xml:space="preserve"> </w:t>
      </w:r>
      <w:r>
        <w:rPr>
          <w:u w:val="single"/>
        </w:rPr>
        <w:t xml:space="preserve">MANDATORY PAYMENTS BASED ON NET PATIENT REVENUE.  (a) </w:t>
      </w:r>
      <w:r>
        <w:rPr>
          <w:u w:val="single"/>
        </w:rPr>
        <w:t xml:space="preserve"> </w:t>
      </w:r>
      <w:r>
        <w:rPr>
          <w:u w:val="single"/>
        </w:rPr>
        <w:t xml:space="preserve">Except as otherwise provided by this subchapter, the commission shall require an annual mandatory payment to be assessed on each ground transport emergency medical services provider's net patient revenue related to the provision of ground transport emergency medical services. </w:t>
      </w:r>
      <w:r>
        <w:rPr>
          <w:u w:val="single"/>
        </w:rPr>
        <w:t xml:space="preserve"> </w:t>
      </w:r>
      <w:r>
        <w:rPr>
          <w:u w:val="single"/>
        </w:rPr>
        <w:t xml:space="preserve">The mandatory payment is to be collected quarterly. </w:t>
      </w:r>
      <w:r>
        <w:rPr>
          <w:u w:val="single"/>
        </w:rPr>
        <w:t xml:space="preserve"> </w:t>
      </w:r>
      <w:r>
        <w:rPr>
          <w:u w:val="single"/>
        </w:rPr>
        <w:t xml:space="preserve">The commission shall update the amount of the mandatory payment at least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uniformly and consistently impose the mandatory payment on each ground transport emergency medical services provider and use the same formula for each provider in calculating the mandatory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all mandatory payments for the state fiscal year in which the mandatory payments are imposed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portion, excluding any federal financial participation, of the cost of reimbursement enhancements provided in this subchapter that are directly attributable to reimbursements to ground transport emergency medical services providers;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six percent of the net operating revenue of all ground transport emergency medical services providers for the provision of emergency ground transport ambulance services, or a greater amount as permitted by federal law, provided that the maximum mandatory payment for a provider in any year may not exceed the provider's net patient revenue, as reported by the provider, subject to Section 773.306(b).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 shall set the mandatory payment in an amount that in the aggregate generates sufficient revenue to cover the administrative expenses of the commission for activities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before the end of each quarter, the commission shall issue to each ground transport emergency medical services provider a notice of the amount of the mandatory payment required to be paid by the provider in the next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ground transport emergency medical services provider may not add a mandatory payment required under this subchapter as a surcharge to a patient or a third-party payor.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ground transport emergency medical services provider shall make mandatory payments only in the manner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773.305.</w:t>
      </w:r>
      <w:r>
        <w:rPr>
          <w:u w:val="single"/>
        </w:rPr>
        <w:t xml:space="preserve"> </w:t>
      </w:r>
      <w:r>
        <w:rPr>
          <w:u w:val="single"/>
        </w:rPr>
        <w:t xml:space="preserve"> </w:t>
      </w:r>
      <w:r>
        <w:rPr>
          <w:u w:val="single"/>
        </w:rPr>
        <w:t xml:space="preserve">ASSESSMENT AND COLLECTION OF MANDATORY PAYMENTS.  (a)  Subject to Subsection (b), the commission shall collect a mandatory payment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for the assessment and collection of mandatory payments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773.306.</w:t>
      </w:r>
      <w:r>
        <w:rPr>
          <w:u w:val="single"/>
        </w:rPr>
        <w:t xml:space="preserve"> </w:t>
      </w:r>
      <w:r>
        <w:rPr>
          <w:u w:val="single"/>
        </w:rPr>
        <w:t xml:space="preserve"> </w:t>
      </w:r>
      <w:r>
        <w:rPr>
          <w:u w:val="single"/>
        </w:rPr>
        <w:t xml:space="preserve">REPORT; INSPECTION OF RECORDS.  (a)  The commission shall require a ground transport emergency medical services provider to submit a report at least annually, but not more than quarterly, that includes information necessary to assist the commission in making a determination on mandatory payments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audit or inspect the records of a ground transport emergency medical services provider to the extent necessary to ensure the accuracy of any data submitted to the commission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773.307.</w:t>
      </w:r>
      <w:r>
        <w:rPr>
          <w:u w:val="single"/>
        </w:rPr>
        <w:t xml:space="preserve"> </w:t>
      </w:r>
      <w:r>
        <w:rPr>
          <w:u w:val="single"/>
        </w:rPr>
        <w:t xml:space="preserve"> </w:t>
      </w:r>
      <w:r>
        <w:rPr>
          <w:u w:val="single"/>
        </w:rPr>
        <w:t xml:space="preserve">FAILURE TO SUBMIT TIMELY OR ACCURATE REPORT OR PAYMENT; AUDIT; ADMINISTRATIVE PENALTY.  (a)  The commission may assess a reasonable penalty against a ground transport emergency medical services provider, not to exceed 15 percent of the quarterly portion of the provider's mandatory payment, for failure to timely submit the quarterly portion of a mandatory payment or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ground transport emergency medical services provider submits an inaccurate report required under this subchapter, the commission may conduct an audit of the provider's records and may require the provider to pay the cost of any audit expenses and related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assessed under this section is in addition to any other penalties and remedies applicable under state or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ground transport emergency medical services provider refuses to submit a quarterly portion of a mandatory payment, the commission may suspend all Medicaid payments to the provider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submits the quarterly portion of the mandatory payment and any associated penalties;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and the commission reach a negotiated settlement.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773.308.</w:t>
      </w:r>
      <w:r>
        <w:rPr>
          <w:u w:val="single"/>
        </w:rPr>
        <w:t xml:space="preserve"> </w:t>
      </w:r>
      <w:r>
        <w:rPr>
          <w:u w:val="single"/>
        </w:rPr>
        <w:t xml:space="preserve"> </w:t>
      </w:r>
      <w:r>
        <w:rPr>
          <w:u w:val="single"/>
        </w:rPr>
        <w:t xml:space="preserve">TEXAS AMBULANCE RESPONSE SAFETY NET TRUST FUND.  (a)  The Texas ambulance response safety net trust fund is established as a trust fund to be held by the comptroller outside the state treasury and administered by the commission as trustee.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from the mandatory payments required by this subchapter, including any administrative penalties and any interest attributable to delinquent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trust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reimbursements for ground transport emergency medical services delivered to Medicaid recipients based on the provider's average commercial rate, including reimbursement enhancements to the statewide dollar amount rate used to reimburse ground transport emergency medical services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commission solely for activities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revenue from the mandatory payments required by this subchapter must be deposited in the trust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trust fund may not be used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773.309.</w:t>
      </w:r>
      <w:r>
        <w:rPr>
          <w:u w:val="single"/>
        </w:rPr>
        <w:t xml:space="preserve"> </w:t>
      </w:r>
      <w:r>
        <w:rPr>
          <w:u w:val="single"/>
        </w:rPr>
        <w:t xml:space="preserve"> </w:t>
      </w:r>
      <w:r>
        <w:rPr>
          <w:u w:val="single"/>
        </w:rPr>
        <w:t xml:space="preserve">INVALIDITY; FEDERAL FUNDS.  If any provision of or procedure under this subchapter is held invalid by a final court order that is not subject to appeal, or if the commission determines that the imposition of the mandatory payment and the expenditure of amounts collected as prescribed by this subchapter will not entitle the state to receive federal matching funds under the Medicaid program or will be inconsistent with the objectives described by Section 537.002(b)(7), Government Code,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stop collection of the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collection is stopped, return to each ground transport emergency medical services provider, in proportion to the total amount paid by each provider compared to the total amount paid by all providers, any unspent money deposited to the credit of the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773.310.</w:t>
      </w:r>
      <w:r>
        <w:rPr>
          <w:u w:val="single"/>
        </w:rPr>
        <w:t xml:space="preserve"> </w:t>
      </w:r>
      <w:r>
        <w:rPr>
          <w:u w:val="single"/>
        </w:rPr>
        <w:t xml:space="preserve"> </w:t>
      </w:r>
      <w:r>
        <w:rPr>
          <w:u w:val="single"/>
        </w:rPr>
        <w:t xml:space="preserve">RULES.  The executive commissioner shall adopt rules necessary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adopt the rules necessary to implement Subchapter J, Chapter 773,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amount of the initial mandatory payment imposed under Subchapter J, Chapter 773, Health and Safety Code, as added by this Act, based on available net patient revenue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shall delay implementing that provision until the waiver or authorization is granted.  The agency shall begin implementing the provision on the date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