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33.0024.</w:t>
      </w:r>
      <w:r>
        <w:rPr>
          <w:u w:val="single"/>
        </w:rPr>
        <w:t xml:space="preserve"> </w:t>
      </w:r>
      <w:r>
        <w:rPr>
          <w:u w:val="single"/>
        </w:rPr>
        <w:t xml:space="preserve"> </w:t>
      </w:r>
      <w:r>
        <w:rPr>
          <w:u w:val="single"/>
        </w:rPr>
        <w:t xml:space="preserve">DISASTER SNAP.  (a)</w:t>
      </w:r>
      <w:r>
        <w:rPr>
          <w:u w:val="single"/>
        </w:rPr>
        <w:t xml:space="preserve"> </w:t>
      </w:r>
      <w:r>
        <w:rPr>
          <w:u w:val="single"/>
        </w:rPr>
        <w:t xml:space="preserve"> </w:t>
      </w:r>
      <w:r>
        <w:rPr>
          <w:u w:val="single"/>
        </w:rPr>
        <w:t xml:space="preserve">In this section, "program" means the program to provide supplemental nutrition assistance benefits to victims of a disaster as authorized by 7 U.S.C. Section 2014.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collaboration with local government officials: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 directory of local points of contact for the operation of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the best method for communication between the commission and local government officials regarding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develop, and maintain a list of potential sites for in-person application for program benefits that meet federal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memorandums of understanding with local government agencies documenting the roles and responsibilities of the commission and each local government agency regarding the determination of the need for and the location of sites for in-person application for program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regarding the program and strategies for effective collaboration between local governments and the commission to local government officials in coastal counties by hosting webinars, conducting conference calls, or holding in-person meetings.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2335 was passed by the House on April 11, 2019, by the following vote:</w:t>
      </w:r>
      <w:r xml:space="preserve">
        <w:t> </w:t>
      </w:r>
      <w:r xml:space="preserve">
        <w:t> </w:t>
      </w:r>
      <w:r>
        <w:t xml:space="preserve">Yeas 140, Nays 6, 2 present, not voting; and that the House concurred in Senate amendments to H.B. No. 2335 on May 24, 2019, by the following vote:</w:t>
      </w:r>
      <w:r xml:space="preserve">
        <w:t> </w:t>
      </w:r>
      <w:r xml:space="preserve">
        <w:t> </w:t>
      </w:r>
      <w:r>
        <w:t xml:space="preserve">Yeas 139,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2335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