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86R6108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 of Galveston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development of a contract template and contracting guidance for debris removal and monitoring contracts of political subdivisions.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418, Government Code, is amended by adding Section 418.054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DEBRIS CONTRACT GUIDANCE FOR POLITICAL SUBDIVISIONS.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"Hurricane Harvey" means the hurricane of that name that struck the southeastern region of this state in 2017.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division, in consultation with political subdivisions and the Federal Emergency Management Agency, shall identify common issues that occurred after Hurricane Harvey with debris removal and monitoring contracts.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division, in coordination with the comptroller, shall develop contracting standards and requirements for contracts used by political subdivisions when contracting for long-term and exigent debris removal and monitoring. </w:t>
      </w:r>
      <w:r>
        <w:rPr>
          <w:u w:val="single"/>
        </w:rPr>
        <w:t xml:space="preserve"> </w:t>
      </w:r>
      <w:r>
        <w:rPr>
          <w:u w:val="single"/>
        </w:rPr>
        <w:t xml:space="preserve">The contracting standards and requirements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address the contracting issues identified under Subsection (b);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provisions relating to the manner in which debris is removed, including requiring a contractor to make multiple passes to remove debris;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provisions relating to requirements for contractors providing debris removal and monitoring services, such as requiring the contractor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certain expertise;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based in a certain location;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a certain number of employees and vehicles in the contractor's fleet;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provisions that enhance the ability of political subdivisions to monitor contract compliance;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bonding requirements and penalties for failure to perform the contract.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shall develop: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template incorporating the contracting standards and requirements developed under Subsection (c);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contracting guidance that provides political subdivisions with an overview of federal contracting standards and requirements.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shall annually: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review federal statutory and regulatory changes to procedures regarding contracting;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update the contract template and contracting guidance developed under Subsection (d) to reflect any changes.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shall distribute an updated contract template or updated contracting guidance to political subdivisions as soon as practicable.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