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 Murphy, Calanni, Bucy, et al.</w:t>
      </w:r>
      <w:r xml:space="preserve">
        <w:tab wTab="150" tlc="none" cTlc="0"/>
      </w:r>
      <w:r>
        <w:t xml:space="preserve">H.B.</w:t>
      </w:r>
      <w:r xml:space="preserve">
        <w:t> </w:t>
      </w:r>
      <w:r>
        <w:t xml:space="preserve">No.</w:t>
      </w:r>
      <w:r xml:space="preserve">
        <w:t> </w:t>
      </w:r>
      <w:r>
        <w:t xml:space="preserve">2340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or hostile military or paramilitary action;</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encourage state agencies, local governments, nongovernmental organizations, private entities, and individuals to adopt the goals of the strategic plan of the Federal Emergency Management Agency for preparing for, responding to, and recovering from a disaster that emphasize cooperation among federal agencies, state agencies, local governments, nongovernmental organizations, private entities, and individuals in each activity or project undertaken to ensure that this state is prepared to effectively respond to and recover from a disaster; and</w:t>
      </w:r>
    </w:p>
    <w:p w:rsidR="003F3435" w:rsidRDefault="0032493E">
      <w:pPr>
        <w:spacing w:line="480" w:lineRule="auto"/>
        <w:ind w:firstLine="1440"/>
        <w:jc w:val="both"/>
      </w:pPr>
      <w:r>
        <w:rPr>
          <w:u w:val="single"/>
        </w:rPr>
        <w:t xml:space="preserve">(10)</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UNMANNED AIRCRAFT STUDY GROUP.  (a) </w:t>
      </w:r>
      <w:r>
        <w:rPr>
          <w:u w:val="single"/>
        </w:rPr>
        <w:t xml:space="preserve"> </w:t>
      </w:r>
      <w:r>
        <w:rPr>
          <w:u w:val="single"/>
        </w:rPr>
        <w:t xml:space="preserve">In this section, "study group" means the unmanned aircraft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unmanned aircraft study group is established and consists of the following members appointed by the chief of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the 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representatives from institutions of higher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appropriate interested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study group shall study issues related to the appropriate use of unmanned aircraft in responding to and recovering from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strategies for coordinating and promoting the use of unmanned aircraft among state agencies, local governments, and private entities in the response and recovery;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recommended changes to state law that would allow state agencies, local governments, and private entities to more effectively use unmanned aircraft in the response and recovery.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(c) to each member of the legislature.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INFORMATION SHARING WORK GROUP.  (a)  In this section, "work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state agencies involved in disaster management. </w:t>
      </w:r>
      <w:r>
        <w:rPr>
          <w:u w:val="single"/>
        </w:rPr>
        <w:t xml:space="preserve"> </w:t>
      </w:r>
      <w:r>
        <w:rPr>
          <w:u w:val="single"/>
        </w:rPr>
        <w:t xml:space="preserve">The work group consists of members appointed by the chief of the division who represent: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comptroller's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institutions of higher education;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the extent practicable, appropriate federal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develop recommendations for improving the manner in which electronic information is stored by and shared among state agencies and between state agencies and federal agencies to improve the capacity of the agencies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respond to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the agencies' responses to a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work group shall submit the group's recommendations to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418, Government Code, is amended by adding Section 418.056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PERMITTING TASK FORCE.  (a)  The division shall form a task force with representatives from the General Land Office, Texas Commission on Environmental Quality, Parks and Wildlife Department, Texas Water Development Board, Texas A&amp;M AgriLife Extension Service, Department of State Health Services, Public Utility Commission of Texas, and Texas Historical Commission to be activated if a state of disaster is declared under Section 418.014 because of weather conditions to expedite: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permitting;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to funds from federal disaster relief programs following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formed under this section shall develop recommendations for expediting the evaluation of environmental permits during disaster recovery in order for local entities to demonstrate compliance with regulations and access federal disaster relief programs and funding.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performing its duties under this section, the task force may use resources of agencies participating in the task force.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751, Government Code, is amended by adding Section 751.017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751.017.</w:t>
      </w:r>
      <w:r>
        <w:rPr>
          <w:u w:val="single"/>
        </w:rPr>
        <w:t xml:space="preserve"> </w:t>
      </w:r>
      <w:r>
        <w:rPr>
          <w:u w:val="single"/>
        </w:rPr>
        <w:t xml:space="preserve"> </w:t>
      </w:r>
      <w:r>
        <w:rPr>
          <w:u w:val="single"/>
        </w:rPr>
        <w:t xml:space="preserve">FEDERAL LEGISLATIVE AND POLICY RECOMMENDATIONS REGARDING DISASTER ASSISTANCE.  (a) </w:t>
      </w:r>
      <w:r>
        <w:rPr>
          <w:u w:val="single"/>
        </w:rPr>
        <w:t xml:space="preserve"> </w:t>
      </w:r>
      <w:r>
        <w:rPr>
          <w:u w:val="single"/>
        </w:rPr>
        <w:t xml:space="preserve">The office, in consultation with the Texas Division of Emergency Management, and, as practicable, federal agencies and members of Congress,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federal laws and policies related to issues affecting the ability of federal agencies, state agencies, and local governments to cooperate in responding to a disaster, including issues related to procurement, housing assistance, information sharing, personnel, and federal disaster assistance programs;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improve federal laws and policies related to the issues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2020, the office shall deliver to the board a report of the recommendations described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