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86R12763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2344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evidence sufficient for the issuance of a stalking protective 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7A.03,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that there are reasonable grounds to believe that the applicant is the victim of stalking solely based on the content of an electronic communication unless the communication threatens harm to the applicant, a member of the applicant's family or household, the applicant's pet or property, or another person.  For purposes of this subsection, "electronic communication" has the meaning assigned by Section 42.07,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protective order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