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86R13482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and other expenditures by Medicaid managed care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533.036.</w:t>
      </w:r>
      <w:r>
        <w:rPr>
          <w:u w:val="single"/>
        </w:rPr>
        <w:t xml:space="preserve"> </w:t>
      </w:r>
      <w:r>
        <w:rPr>
          <w:u w:val="single"/>
        </w:rPr>
        <w:t xml:space="preserve"> </w:t>
      </w:r>
      <w:r>
        <w:rPr>
          <w:u w:val="single"/>
        </w:rPr>
        <w:t xml:space="preserve">ADMINISTRATIVE AND OTHER EXPENDITURES.  (a) </w:t>
      </w:r>
      <w:r>
        <w:rPr>
          <w:u w:val="single"/>
        </w:rPr>
        <w:t xml:space="preserve"> </w:t>
      </w:r>
      <w:r>
        <w:rPr>
          <w:u w:val="single"/>
        </w:rPr>
        <w:t xml:space="preserve">The legislature, after consulting with the commission, may set in the General Appropriations Act an upper limit on the percentage or amount of Medicaid capitated or other premium payments that a managed care organization offering a Medicaid managed care plan may spend on administrative, overhead, and marketing costs in each year of the state fiscal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a managed care organization offering a Medicaid managed care plan shall report to the legislature and the commission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premium payments and other state money received by the managed care organization, including a list of the amount and date of each premium payment and the amount, date, and source of each receipt of state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percentage of premium payments and other state money that the managed care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spent on administrative, overhead, and marketing costs;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spent on clinical or pharmaceutical reimbursement for medical and pharmaceutical services provided to enrollees;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to subcontractors, including a list of the identity of and the amount paid to each subcontractor;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retained as profit.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managed care organization contracts with a subcontractor, the report must include a list of the amount of each payment the subcontractor paid directly to a health care provider, categorized by provider type.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shall report the information required by this section in an aggregate form that may be organized by premium payments and other state money, service delivery area, and provider type.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may include in the report the amount and percentage of premium payments and other state money that the managed care organization spent on activities that improve health care quality for enrollees and all other activities for those enrollees but may not include that amount and percentage in the amount and percentage reported under Subsection (b)(2)(B).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