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86R13480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caseload standards for certain care coordinators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533.00292.</w:t>
      </w:r>
      <w:r>
        <w:rPr>
          <w:u w:val="single"/>
        </w:rPr>
        <w:t xml:space="preserve"> </w:t>
      </w:r>
      <w:r>
        <w:rPr>
          <w:u w:val="single"/>
        </w:rPr>
        <w:t xml:space="preserve"> </w:t>
      </w:r>
      <w:r>
        <w:rPr>
          <w:u w:val="single"/>
        </w:rPr>
        <w:t xml:space="preserve">CARE COORDINATOR CASELOAD STANDARDS.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 coordination" means assisting recipients to develop a plan of care, including a service plan, that meets the recipient's needs and coordinating the provision of Medicaid benefits in a manner that is consistent with the plan of care.  The term is synonymous with "case management," "service coordination," and "service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coordinator" means a person, including a case manager, engaged by a managed care organization to provide care coordination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 caseload standards for care coordinators providing care coordination under the STAR+PLUS home and community-based services supports (HCBS)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may, if the executive commissioner determines it appropriate, establish caseload standards for care coordinators providing care coordination under Medicaid programs other than the STAR+PLUS home and community-based services supports (HCBS)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establish caseload standards for a Medicaid program under Subsection (c), the executive commissioner shall consider whether implementing the standards would improve: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compliance by managed care organizations that contract with the commission under this chapter to provide health care services to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quality and consistency of care coordination provided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transparency regarding the availability of care coordination benefits to recipients and interested stakeholders.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