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86R13476 KLA-D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2357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utilization reviews and care coordination under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533.00281,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precludes the commission from conducting a utilization review for managed care organizations participating in another Medicaid managed care program or with respect to other service types within a Medicaid managed care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533, Government Code, is amended by adding Section 533.00294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533.00294.</w:t>
      </w:r>
      <w:r>
        <w:rPr>
          <w:u w:val="single"/>
        </w:rPr>
        <w:t xml:space="preserve"> </w:t>
      </w:r>
      <w:r>
        <w:rPr>
          <w:u w:val="single"/>
        </w:rPr>
        <w:t xml:space="preserve"> </w:t>
      </w:r>
      <w:r>
        <w:rPr>
          <w:u w:val="single"/>
        </w:rPr>
        <w:t xml:space="preserve">CARE COORDINATION BENEFITS.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 coordination" means assisting recipients to develop a plan of care, including a service plan, that meets the recipient's needs and coordinating the provision of Medicaid benefits in a manner that is consistent with the plan of care.  The term is synonymous with "case management," "service coordination," and "service management."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managed care organization"</w:t>
      </w:r>
      <w:r>
        <w:rPr>
          <w:u w:val="single"/>
        </w:rPr>
        <w:t xml:space="preserve"> </w:t>
      </w:r>
      <w:r>
        <w:rPr>
          <w:u w:val="single"/>
        </w:rPr>
        <w:t xml:space="preserve">means a managed care organization that contracts with the commission under this chapter to provide health care services to recipients.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streamline and clarify the provision of care coordination benefits across Medicaid programs and services for recipients receiving benefits under a managed care delivery model.  In streamlining and clarifying the provision of care coordination benefits, the commission shall, at a minimum, include requirements in Medicaid managed care contracts that are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(c), establish a process for determining and designating a single person as the primary person responsible for a recipient's care coordination;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and eliminate duplicative services intended to achieve recipient care coordination, including care coordination or related benefits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a Medicaid managed care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a recipient's medical or health home;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through a disease management program provided by a Medicaid managed care organization;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by a provider of targeted case management and psychiatric rehabilitation services;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through a program of case management for high-risk pregnant women and high-risk children established under Section 22.0031, Human Resources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evaluate and, if the commission determines it appropriate, modify the capitation rate paid to Medicaid managed care organizations to account for the provision of care coordination benefits by a person not affiliated with the organization;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and use a consistent set of terms for care coordination provided under a managed care delivery model.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a process under Subsection (b)(1), the commission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recipient who receives targeted case management and psychiatric rehabilitation services through a local mental health authority, the default entity to act as the primary entity responsible for the recipient's care coordination under Subsection (b)(1) is the local mental health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recipient who receives targeted case management and psychiatric rehabilitation services through a Medicaid managed care organization network provider, the default person to act as the primary person responsible for the recipient's care coordination under Subsection (b)(1) is the network provider;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recipients other than those described by Subdivision (1) or (2), the process includes an evaluation designed to identify the provider that would best and most cost-effectively meet the care coordination needs of a recipient.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