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taxing unit to authorize tax incentives for the development of property for gambling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312.204, Tax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property subject to a tax abatement agreement made under this section may not be used as a gambling establishment. In this subsection, "gambling establishment"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game room subject to regulation under Subchapter E, Chapter 234,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racetrack as defined by Section 2021.003, Occupations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establishment that conducts a casino game or a game of chance that involves the making of a bet and in which the outcome may be partially determined by skill or ability.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313.024, Tax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To be eligible for a limitation on appraised value under this subchapter, the entity may not use the property as a gambling establishment. In this subsection, "gambling establishment"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game room subject to regulation under Subchapter E, Chapter 234,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racetrack as defined by Section 2021.003, Occupations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establishment that conducts a casino game or a game of chance that involves the making of a bet and in which the outcome may be partially determined by skill or 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to Section 312.204, Tax Code, applies to a tax abatement agreement entered into on or after the effective date of this Act. A tax abatement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313.024, Tax Code, applies to an agreement for a limitation on appraised value entered into on or after the effective date of this Act. An agreement for a limitation on appraised value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