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86R8526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standard of proof in health care liability claims involving emergency medical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74.153, Civil Practice and Remedies Code, is amended to read as follows:</w:t>
      </w:r>
    </w:p>
    <w:p w:rsidR="003F3435" w:rsidRDefault="0032493E">
      <w:pPr>
        <w:spacing w:line="480" w:lineRule="auto"/>
        <w:ind w:firstLine="720"/>
        <w:jc w:val="both"/>
      </w:pPr>
      <w:r>
        <w:t xml:space="preserve">Sec.</w:t>
      </w:r>
      <w:r xml:space="preserve">
        <w:t> </w:t>
      </w:r>
      <w:r>
        <w:t xml:space="preserve">74.153.</w:t>
      </w:r>
      <w:r xml:space="preserve">
        <w:t> </w:t>
      </w:r>
      <w:r xml:space="preserve">
        <w:t> </w:t>
      </w:r>
      <w:r>
        <w:t xml:space="preserve">STANDARD OF PROOF IN CASES INVOLVING EMERGENCY MEDICAL CARE.  </w:t>
      </w:r>
      <w:r>
        <w:rPr>
          <w:u w:val="single"/>
        </w:rPr>
        <w:t xml:space="preserve">(a)  Except as provided by Subsection (b), in</w:t>
      </w:r>
      <w:r>
        <w:t xml:space="preserve"> [</w:t>
      </w:r>
      <w:r>
        <w:rPr>
          <w:strike/>
        </w:rPr>
        <w:t xml:space="preserve">In</w:t>
      </w:r>
      <w:r>
        <w:t xml:space="preserve">] a suit involving a health care liability claim against a physician or health care provider for injury to or death of a patient arising out of the provision of emergency medical care in a hospital emergency department</w:t>
      </w:r>
      <w:r>
        <w:rPr>
          <w:u w:val="single"/>
        </w:rPr>
        <w:t xml:space="preserve">, in an</w:t>
      </w:r>
      <w:r>
        <w:t xml:space="preserve"> [</w:t>
      </w:r>
      <w:r>
        <w:rPr>
          <w:strike/>
        </w:rPr>
        <w:t xml:space="preserve">or</w:t>
      </w:r>
      <w:r>
        <w:t xml:space="preserve">] obstetrical unit </w:t>
      </w:r>
      <w:r>
        <w:rPr>
          <w:u w:val="single"/>
        </w:rPr>
        <w:t xml:space="preserve">for the initial evaluation or treatment of a patient with an obstetric emergency,</w:t>
      </w:r>
      <w:r>
        <w:t xml:space="preserve"> or in a surgical suite immediately following the evaluation or treatment of a patient in a hospital emergency department, the claimant bringing the suit may prove that the treatment or lack of treatment by the physician or health care provider departed from accepted standards of medical care or health care only if the claimant shows by a preponderance of the evidence that the physician or health care provider, with wilful and wanton negligence, deviated from the degree of care and skill that is reasonably expected of an ordinarily prudent physician or health care provider in the same or similar circumstances.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medical care or treatment: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when a patient arrives at a health care institution: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stable condition;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capable of receiving medical care or treatment as a nonemergency patient;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provided after the patient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stabilized;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capable of receiving medical care or treatment as a nonemergency patient;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provided in an obstetrical unit if the patient arrives at a hospital for medical care or treatment for a non-obstetric emergency;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is unrelated to the original medical emergency for which the patient initially sought medical care or treatment;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that is related to an emergency caused wholly or partly by the negligence of any defendant.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74.153, Civil Practice and Remedies Code, as amended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