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permitting certain foster homes to store firearms and ammunition in the same locked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42.042(e-1), Human Resources Code, is amended to read as follows:</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commission</w:t>
      </w:r>
      <w:r>
        <w:t xml:space="preserve"> [</w:t>
      </w:r>
      <w:r>
        <w:rPr>
          <w:strike/>
        </w:rPr>
        <w:t xml:space="preserve">department</w:t>
      </w:r>
      <w:r>
        <w:t xml:space="preserve">] may not prohibit possession of lawfully permitted firearms and ammunition in an agency foster home.  Minimum standards may be adopted under this section relating to safety and proper storage of firearms and ammunition</w:t>
      </w:r>
      <w:r>
        <w:rPr>
          <w:u w:val="single"/>
        </w:rPr>
        <w:t xml:space="preserve">.  The minimum standards must allow</w:t>
      </w:r>
      <w:r>
        <w:t xml:space="preserve"> </w:t>
      </w:r>
      <w:r>
        <w:t xml:space="preserve">[</w:t>
      </w:r>
      <w:r>
        <w:rPr>
          <w:strike/>
        </w:rPr>
        <w:t xml:space="preserve">, including standards requiring</w:t>
      </w:r>
      <w:r>
        <w:t xml:space="preserve">] firearms and ammunition to be stored separately </w:t>
      </w:r>
      <w:r>
        <w:rPr>
          <w:u w:val="single"/>
        </w:rPr>
        <w:t xml:space="preserve">or stored together</w:t>
      </w:r>
      <w:r>
        <w:t xml:space="preserve"> </w:t>
      </w:r>
      <w:r>
        <w:t xml:space="preserve">in </w:t>
      </w:r>
      <w:r>
        <w:rPr>
          <w:u w:val="single"/>
        </w:rPr>
        <w:t xml:space="preserve">the same</w:t>
      </w:r>
      <w:r>
        <w:t xml:space="preserve"> </w:t>
      </w:r>
      <w:r>
        <w:t xml:space="preserve">locked </w:t>
      </w:r>
      <w:r>
        <w:rPr>
          <w:u w:val="single"/>
        </w:rPr>
        <w:t xml:space="preserve">location if the firearms are stored with a trigger locking device attached to the firearms</w:t>
      </w:r>
      <w:r>
        <w:t xml:space="preserve"> </w:t>
      </w:r>
      <w:r>
        <w:t xml:space="preserve">[</w:t>
      </w:r>
      <w:r>
        <w:rPr>
          <w:strike/>
        </w:rPr>
        <w:t xml:space="preserve">locations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2363 was passed by the House on May 2, 2019, by the following vote:</w:t>
      </w:r>
      <w:r xml:space="preserve">
        <w:t> </w:t>
      </w:r>
      <w:r xml:space="preserve">
        <w:t> </w:t>
      </w:r>
      <w:r>
        <w:t xml:space="preserve">Yeas 97, Nays 43, 1 present, not voting; and that the House concurred in Senate amendments to H.B. No. 2363 on May 24, 2019, by the following vote:</w:t>
      </w:r>
      <w:r xml:space="preserve">
        <w:t> </w:t>
      </w:r>
      <w:r xml:space="preserve">
        <w:t> </w:t>
      </w:r>
      <w:r>
        <w:t xml:space="preserve">Yeas 85, Nays 56,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2363 was passed by the Senate, with amendments, on May 21,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