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86R12605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H.B.</w:t>
      </w:r>
      <w:r xml:space="preserve">
        <w:t> </w:t>
      </w:r>
      <w:r>
        <w:t xml:space="preserve">No.</w:t>
      </w:r>
      <w:r xml:space="preserve">
        <w:t> </w:t>
      </w:r>
      <w:r>
        <w:t xml:space="preserve">2363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possession of firearms and ammunition in certain foster homes.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42.042(e-1), Human Resources Code, is amended to read as follows:</w:t>
      </w:r>
    </w:p>
    <w:p w:rsidR="003F3435" w:rsidRDefault="0032493E">
      <w:pPr>
        <w:spacing w:line="480" w:lineRule="auto"/>
        <w:ind w:firstLine="720"/>
        <w:jc w:val="both"/>
      </w:pPr>
      <w:r>
        <w:t xml:space="preserve">(e-1)</w:t>
      </w:r>
      <w:r xml:space="preserve">
        <w:t> </w:t>
      </w:r>
      <w:r xml:space="preserve">
        <w:t> </w:t>
      </w:r>
      <w:r>
        <w:t xml:space="preserve">The </w:t>
      </w:r>
      <w:r>
        <w:rPr>
          <w:u w:val="single"/>
        </w:rPr>
        <w:t xml:space="preserve">commission</w:t>
      </w:r>
      <w:r>
        <w:t xml:space="preserve"> [</w:t>
      </w:r>
      <w:r>
        <w:rPr>
          <w:strike/>
        </w:rPr>
        <w:t xml:space="preserve">department</w:t>
      </w:r>
      <w:r>
        <w:t xml:space="preserve">] may not prohibit possession of lawfully permitted firearms and ammunition in an agency foster home.  Minimum standards may be adopted under this section relating to safety and proper storage of firearms and ammunition</w:t>
      </w:r>
      <w:r>
        <w:rPr>
          <w:u w:val="single"/>
        </w:rPr>
        <w:t xml:space="preserve">.  The minimum standards must allow:</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 including standards requiring</w:t>
      </w:r>
      <w:r>
        <w:t xml:space="preserve">] firearms and ammunition to be stored </w:t>
      </w:r>
      <w:r>
        <w:rPr>
          <w:u w:val="single"/>
        </w:rPr>
        <w:t xml:space="preserve">together</w:t>
      </w:r>
      <w:r>
        <w:t xml:space="preserve"> </w:t>
      </w:r>
      <w:r>
        <w:t xml:space="preserve">[</w:t>
      </w:r>
      <w:r>
        <w:rPr>
          <w:strike/>
        </w:rPr>
        <w:t xml:space="preserve">separately</w:t>
      </w:r>
      <w:r>
        <w:t xml:space="preserve">] in </w:t>
      </w:r>
      <w:r>
        <w:rPr>
          <w:u w:val="single"/>
        </w:rPr>
        <w:t xml:space="preserve">the same</w:t>
      </w:r>
      <w:r>
        <w:t xml:space="preserve"> </w:t>
      </w:r>
      <w:r>
        <w:t xml:space="preserve">locked </w:t>
      </w:r>
      <w:r>
        <w:rPr>
          <w:u w:val="single"/>
        </w:rPr>
        <w:t xml:space="preserve">location</w:t>
      </w:r>
      <w:r>
        <w:t xml:space="preserve"> </w:t>
      </w:r>
      <w:r>
        <w:t xml:space="preserve">[</w:t>
      </w:r>
      <w:r>
        <w:rPr>
          <w:strike/>
        </w:rPr>
        <w:t xml:space="preserve">locations</w:t>
      </w:r>
      <w:r>
        <w:t xml:space="preserv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firearms to be stored in a locked location with a glass or other breakable front or enclosure without requiring the firearms to be secured with additional locks or other security mechanisms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