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86R10856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Hunter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required to be published with a notice of intent to apply for the passage of a local or special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313.002(c),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is sufficient if it contains a statement of the general purpose and substance of the intended law </w:t>
      </w:r>
      <w:r>
        <w:rPr>
          <w:u w:val="single"/>
        </w:rPr>
        <w:t xml:space="preserve">and the name of the person paying for the publication</w:t>
      </w:r>
      <w:r>
        <w:t xml:space="preserve">. Publication of the particular form of the intended law or the terms used in the intended law is not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313.006(c),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is sufficient if it contains a statement of the general purpose and substance of the intended law </w:t>
      </w:r>
      <w:r>
        <w:rPr>
          <w:u w:val="single"/>
        </w:rPr>
        <w:t xml:space="preserve">and the name of the person paying for the publication</w:t>
      </w:r>
      <w:r>
        <w:t xml:space="preserve">. Notice of the particular form of the intended law or the terms used in the intended law is not required.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