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86R11768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municipal standards for private roads or streets in a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212, Local Government Code, is amended by adding Section 212.0102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212.0102.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PRIVATE ROAD OR STREET IN SUBDIVISION.  A municipality may not impose a higher standard for a private road or street in a subdivision than the municipality imposes on itself for the construction of roads or streets of a similar type and with a similar amount of traffic.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