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86R11057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H.B.</w:t>
      </w:r>
      <w:r xml:space="preserve">
        <w:t> </w:t>
      </w:r>
      <w:r>
        <w:t xml:space="preserve">No.</w:t>
      </w:r>
      <w:r xml:space="preserve">
        <w:t> </w:t>
      </w:r>
      <w:r>
        <w:t xml:space="preserve">2375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certain arbitration agreements.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171, Civil Practice and Remedies Code, is amended by adding Section 171.0221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171.0221.</w:t>
      </w:r>
      <w:r>
        <w:rPr>
          <w:u w:val="single"/>
        </w:rPr>
        <w:t xml:space="preserve"> </w:t>
      </w:r>
      <w:r>
        <w:rPr>
          <w:u w:val="single"/>
        </w:rPr>
        <w:t xml:space="preserve"> </w:t>
      </w:r>
      <w:r>
        <w:rPr>
          <w:u w:val="single"/>
        </w:rPr>
        <w:t xml:space="preserve">CERTAIN ARBITRATION AGREEMENTS UNENFORCEABLE.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"Antitrust dispute" means a dispute involving a claim for damages caused by a violation of an antitrust law in which plaintiffs seek certification as a class.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"Civil rights dispute" means a dispute regarding a violation of the United States Constitution, the constitution of this state, or a statute that prohibits discrimination on the basis of race, sex, disability, religion, or national origin in which a party alleging a violation is an individual.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"Consumer dispute" means a dispute between an individual who seeks or acquires real or personal property, services, securities or other investments, money, or credit for personal, family, or household purposes and a seller or provider of the property, services, investments, money, or credit.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"Employment dispute" means a dispute between an employer and an employee.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enforce an agreement to arbitrate a dispute that had not yet arisen at the time the agreement was made if the agreement would require arbitration of an employment dispute, consumer dispute, antitrust dispute, or civil rights dispute or would have the effect of waiving the right of an employee to seek judicial enforcement of a right arising under federal or state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an agreement to arbitrate between an employer and a labor union or between labor unions.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agreement to arbitrate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