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86R12744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in certain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38.006, Civil Practice and Remedies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repeal of Section 38.006, Civil Practice and Remedies Code,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