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86R9847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2379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changes to and the setting of fees, charges, and rates under the Medicaid and child health plan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531.02112.</w:t>
      </w:r>
      <w:r>
        <w:rPr>
          <w:u w:val="single"/>
        </w:rPr>
        <w:t xml:space="preserve"> </w:t>
      </w:r>
      <w:r>
        <w:rPr>
          <w:u w:val="single"/>
        </w:rPr>
        <w:t xml:space="preserve"> </w:t>
      </w:r>
      <w:r>
        <w:rPr>
          <w:u w:val="single"/>
        </w:rPr>
        <w:t xml:space="preserve">PROCEDURE FOR IMPLEMENTING CHANGES TO PAYMENT RATES UNDER MEDICAID AND CHILD HEALTH PLAN PROGRAM.  (a)  In adopting rules and standards related to the determination of fees, charges, and rates for payments under Medicaid and the child health plan program, the executive commissioner, in consultation with the advisory committee established under Subsection (b), shall adopt rules to ensure that changes to the fees, charges, and rates are implemented in accordance with this section and in a way that minimizes administrative complexity and financial uncertainty.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an advisory committee of nine members to provide input for the adoption of rules and standards that comply with this section.  The advisory committee is composed of representatives from managed care organizations and providers, including physicians, under Medicaid and the child health plan program.  The advisory committee is abolished on the date the rules that comply with this section are adopted.  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implementing a change to the fees, charges, and rates for payments under Medicaid or the child health plan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notice of the proposed change is published under Subdivision (2), notify managed care organizations and the entity serving as the state's Medicaid claims administrator under the Medicaid fee-for-service delivery model of the proposed change;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public comment in the Texas Register for a period of not less than 30 days;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commission's and state Medicaid claims administrator's Internet websites during the period specified under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notice of a final determination to make the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Texas Register for a period of not less than 30 days before the change becomes effective;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commission's and state Medicaid claims administrator's Internet websites during the period specified under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managed care organizations and the entity serving as the state's Medicaid claims administrator under the Medicaid fee-for-service delivery model with a period of not less than 30 days before the effective date of the final change to make any necessary administrative or systems adjustments to implement the change.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changes to the fees, charges, or rates for payments under Medicaid or the child health plan program are mandated by the legislature or federal government on a date that does not fall within the time frame for the implementation of those changes described by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prorate the amount of the change over the fee, charge, or rate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proration schedule described by Subdivision (1) in the Texas Register along with the notice provided under Subsection (c)(3).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changes to the fees, charges, or rates for payments made to a nursing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533.0059.</w:t>
      </w:r>
      <w:r>
        <w:rPr>
          <w:u w:val="single"/>
        </w:rPr>
        <w:t xml:space="preserve"> </w:t>
      </w:r>
      <w:r>
        <w:rPr>
          <w:u w:val="single"/>
        </w:rPr>
        <w:t xml:space="preserve"> </w:t>
      </w:r>
      <w:r>
        <w:rPr>
          <w:u w:val="single"/>
        </w:rPr>
        <w:t xml:space="preserve">RESTRICTIONS ON CERTAIN REIMBURSEMENT RATE REDUCTIONS.  (a) </w:t>
      </w:r>
      <w:r>
        <w:rPr>
          <w:u w:val="single"/>
        </w:rPr>
        <w:t xml:space="preserve"> </w:t>
      </w:r>
      <w:r>
        <w:rPr>
          <w:u w:val="single"/>
        </w:rPr>
        <w:t xml:space="preserve">In this section, "across-the-board provider reimbursement rate reduction" means a provider reimbursement rate reduction proposed by a managed care organization that the commission determines is likely to affect more than 50 percent of a particular type of provider participating in the organization's provider network during the 12-month period following implementation of the proposed reduction, regardless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organization limits the proposed reduction to specific service areas or provider types;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affected providers are likely to experience differing percentages of rate reductions or amounts of lost revenue as a result of the proposed reduction.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a managed care organization that contracts with the commission to provide health care services to recipients may not implement a significant, as determined by the commission, across-the-board provider reimbursement rate reduction unless the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90 days before the proposed rate reduction is to take effect: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the commission and affected providers with written notice of the proposed rate reduction;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makes a good faith effort to negotiate the reduction with the affected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prior approval from the commission, subject to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across-the-board provider reimbursement rate reduction is considered to have received the commission's prior approval for purposes of Subsection (b)(2) unless the commission issues a written statement of disapproval not later than the 45th day after the date the commission receives notice of the proposed rate reduction from the managed care organization under Subsection (b)(1)(A).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managed care organization proposes an across-the-board provider reimbursement rate reduction in accordance with this section and subsequently rejects alternative rate reductions suggested by an affected provider, the organization must provide the provider with written notice of that rejection, including an explanation of the grounds for the rejection, before implementing any rate reduction.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rate reductions that are implemented because of reductions to the Medicaid fee schedule or cost containment initiatives that are specifically directed by the legislature and implemented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Chapter 1117 (H.B. 3523), Acts of the 84th Legislature, Regular Session, 2015, which amended Section 533.00251(c), Government Code, effective September 1, 2021,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2019, the executive commissioner of the Health and Human Services Commission shall establish the advisory committee as required by Section 531.02112(b),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Not later than December 31, 2020, the executive commissioner of the Health and Human Services Commission shall adopt the rules required to implement Section 531.02112, Government Code, as added by this Act.</w:t>
      </w:r>
    </w:p>
    <w:p w:rsidR="003F3435" w:rsidRDefault="0032493E">
      <w:pPr>
        <w:spacing w:line="480" w:lineRule="auto"/>
        <w:ind w:firstLine="720"/>
        <w:jc w:val="both"/>
      </w:pPr>
      <w:r>
        <w:t xml:space="preserve">(b)</w:t>
      </w:r>
      <w:r xml:space="preserve">
        <w:t> </w:t>
      </w:r>
      <w:r xml:space="preserve">
        <w:t> </w:t>
      </w:r>
      <w:r>
        <w:t xml:space="preserve">The procedure for implementing changes to payment rates required by Section 531.02112, Government Code, as added by this Act, applies only to a change to a fee, charge, or rate that takes effect on or after January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