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86R12663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classification of certain conduct by juveniles constituting the offense of evading detention.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43.02(a) or (b), Penal Code;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Subsection (a)(1), conduct described by Section 38.04, Penal Code,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punishable as a Class A misdemeanor under that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consists of intentionally fleeing a person the child knows is a peace officer or federal special investigator attempting lawfully to detain the child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