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Buckley, Guillen</w:t>
      </w:r>
      <w:r xml:space="preserve">
        <w:tab wTab="150" tlc="none" cTlc="0"/>
      </w:r>
      <w:r>
        <w:t xml:space="preserve">H.B.</w:t>
      </w:r>
      <w:r xml:space="preserve">
        <w:t> </w:t>
      </w:r>
      <w:r>
        <w:t xml:space="preserve">No.</w:t>
      </w:r>
      <w:r xml:space="preserve">
        <w:t> </w:t>
      </w:r>
      <w:r>
        <w:t xml:space="preserve">2386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Transportation;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2386</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exclusion of the operation of certain vehicles from commercial driver's license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operated intrastate;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driven by an individual not for compensation and not in the furtherance of a commercial enterprise;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covered farm vehicle as defined by 49 C.F.R. Section 390.5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comptroller of public accounts shall:</w:t>
      </w:r>
    </w:p>
    <w:p w:rsidR="003F3435" w:rsidRDefault="0032493E">
      <w:pPr>
        <w:spacing w:line="480" w:lineRule="auto"/>
        <w:ind w:firstLine="1440"/>
        <w:jc w:val="both"/>
      </w:pPr>
      <w:r>
        <w:t xml:space="preserve">(1)</w:t>
      </w:r>
      <w:r xml:space="preserve">
        <w:t> </w:t>
      </w:r>
      <w:r xml:space="preserve">
        <w:t> </w:t>
      </w:r>
      <w:r>
        <w:t xml:space="preserve">determine whether any transfer of money for deposit to the Texas mobility fund is necessary to comply with Section 49-k, Article III, Texas Constitution; and</w:t>
      </w:r>
    </w:p>
    <w:p w:rsidR="003F3435" w:rsidRDefault="0032493E">
      <w:pPr>
        <w:spacing w:line="480" w:lineRule="auto"/>
        <w:ind w:firstLine="1440"/>
        <w:jc w:val="both"/>
      </w:pPr>
      <w:r>
        <w:t xml:space="preserve">(2)</w:t>
      </w:r>
      <w:r xml:space="preserve">
        <w:t> </w:t>
      </w:r>
      <w:r xml:space="preserve">
        <w:t> </w:t>
      </w:r>
      <w:r>
        <w:t xml:space="preserve">transfer any amount determined to be necessary under Subdivision (1) to the Texas mobility fund from the general revenue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