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86R11310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2388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certain conduct constituting the offense of disorderly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42.01(d),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unless committed under Subsection (a)(7)</w:t>
      </w:r>
      <w:r>
        <w:rPr>
          <w:u w:val="single"/>
        </w:rPr>
        <w:t xml:space="preserve">,</w:t>
      </w:r>
      <w:r>
        <w:t xml:space="preserve"> [</w:t>
      </w:r>
      <w:r>
        <w:rPr>
          <w:strike/>
        </w:rPr>
        <w:t xml:space="preserve">or</w:t>
      </w:r>
      <w:r>
        <w:t xml:space="preserve">] (a)(8), </w:t>
      </w:r>
      <w:r>
        <w:rPr>
          <w:u w:val="single"/>
        </w:rPr>
        <w:t xml:space="preserve">or (a)(11),</w:t>
      </w:r>
      <w:r>
        <w:t xml:space="preserve"> in which event it is a Class B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