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86R5650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school districts to suspend classes on primary and general election days and requiring the commissioner of education to adjust funding for certain related absences.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25, Education Code, is amended by adding Section 25.0813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25.0813.</w:t>
      </w:r>
      <w:r>
        <w:rPr>
          <w:u w:val="single"/>
        </w:rPr>
        <w:t xml:space="preserve"> </w:t>
      </w:r>
      <w:r>
        <w:rPr>
          <w:u w:val="single"/>
        </w:rPr>
        <w:t xml:space="preserve"> </w:t>
      </w:r>
      <w:r>
        <w:rPr>
          <w:u w:val="single"/>
        </w:rPr>
        <w:t xml:space="preserve">SUSPENSION OF CLASSES ON PRIMARY AND GENERAL ELECTION DAY.  (a)  This section applies to elections held on the primary election date described by Section 41.007, Election Code, or the date for the general election for state and county officers under Section 41.002,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suspend classes on the day of a primary or general election.  A district that intends to suspend classes as provided by this section must notify the commissioner not later than the first day of instruction for the school year in which the election will be held.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authorization granted by this section does not exempt a school district from the minimum minutes of operation requirement under Section 25.081(a).  A district may extend its school calendar to compensate for days on which classes are suspended as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42.005,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shall adjust the average daily attendance of a school district that suspends classes on the day of the primary or general election as provided by Section 25.0813 and that, on the day preceding election day, has more than the district's average number of daily absences, so that the district is not penalized under this section for that increase in the number of absences.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