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86R12636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a replacement structure for a structure that was rendered uninhabitable or unusable by a casualty or by wind or water damage as a new improvement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11.26(o), Tax Code, is amended to read as follows:</w:t>
      </w:r>
    </w:p>
    <w:p w:rsidR="003F3435" w:rsidRDefault="0032493E">
      <w:pPr>
        <w:spacing w:line="480" w:lineRule="auto"/>
        <w:ind w:firstLine="720"/>
        <w:jc w:val="both"/>
      </w:pPr>
      <w:r>
        <w:t xml:space="preserve">(o)</w:t>
      </w:r>
      <w:r xml:space="preserve">
        <w:t> </w:t>
      </w:r>
      <w:r xml:space="preserve">
        <w:t> </w:t>
      </w:r>
      <w:r>
        <w:t xml:space="preserve">Notwithstanding Subsections (a), (a-3),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(b), the replacement structure is considered to be an improvement under that subsection only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(b) and (c), an improvement to property that would otherwise constitute an improvement under Subsection (c)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(c), the replacement structure is considered to be an improvement under that subsection only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23.23(f) and (g), Tax Code, are amended to read as follows:</w:t>
      </w:r>
    </w:p>
    <w:p w:rsidR="003F3435" w:rsidRDefault="0032493E">
      <w:pPr>
        <w:spacing w:line="480" w:lineRule="auto"/>
        <w:ind w:firstLine="720"/>
        <w:jc w:val="both"/>
      </w:pPr>
      <w:r>
        <w:t xml:space="preserve">(f)</w:t>
      </w:r>
      <w:r xml:space="preserve">
        <w:t> </w:t>
      </w:r>
      <w:r xml:space="preserve">
        <w:t> </w:t>
      </w:r>
      <w:r>
        <w:t xml:space="preserve">Notwithstanding Subsections (a) and (e) and except as provided by Subdivision (2), an improvement to property that would otherwise constitute a new improvement is not treated as a new improvement if the improvement is a replacement structure for a structure that was rendered uninhabitable or unusable by a casualty or by wind or water damage.</w:t>
      </w:r>
      <w:r xml:space="preserve">
        <w:t> </w:t>
      </w:r>
      <w:r xml:space="preserve">
        <w:t> </w:t>
      </w:r>
      <w:r>
        <w:t xml:space="preserve">For purposes of appraising the property under Subsection (a) in the tax year in which the structure would have constituted a new improvement:</w:t>
      </w:r>
    </w:p>
    <w:p w:rsidR="003F3435" w:rsidRDefault="0032493E">
      <w:pPr>
        <w:spacing w:line="480" w:lineRule="auto"/>
        <w:ind w:firstLine="1440"/>
        <w:jc w:val="both"/>
      </w:pPr>
      <w:r>
        <w:t xml:space="preserve">(1)</w:t>
      </w:r>
      <w:r xml:space="preserve">
        <w:t> </w:t>
      </w:r>
      <w:r xml:space="preserve">
        <w:t> </w:t>
      </w:r>
      <w: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(a); and</w:t>
      </w:r>
    </w:p>
    <w:p w:rsidR="003F3435" w:rsidRDefault="0032493E">
      <w:pPr>
        <w:spacing w:line="480" w:lineRule="auto"/>
        <w:ind w:firstLine="1440"/>
        <w:jc w:val="both"/>
      </w:pPr>
      <w:r>
        <w:t xml:space="preserve">(2)</w:t>
      </w:r>
      <w:r xml:space="preserve">
        <w:t> </w:t>
      </w:r>
      <w:r xml:space="preserve">
        <w:t> </w:t>
      </w:r>
      <w:r>
        <w:t xml:space="preserve">the replacement structure is considered to be a new improvement only if[</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(g)</w:t>
      </w:r>
      <w:r xml:space="preserve">
        <w:t> </w:t>
      </w:r>
      <w:r xml:space="preserve">
        <w:t> </w:t>
      </w:r>
      <w:r>
        <w:t xml:space="preserve">In this subsection, "disaster recovery program" means the disaster recovery program administered by the General Land Office that is funded with community development block grant disaster recovery money authorized by the Consolidated Security, Disaster Assistance, and Continuing Appropriations Act, 2009 (Pub. L. No.</w:t>
      </w:r>
      <w:r xml:space="preserve">
        <w:t> </w:t>
      </w:r>
      <w:r>
        <w:t xml:space="preserve">110-329)</w:t>
      </w:r>
      <w:r>
        <w:rPr>
          <w:u w:val="single"/>
        </w:rPr>
        <w:t xml:space="preserve">,</w:t>
      </w:r>
      <w:r>
        <w:t xml:space="preserve"> and the Consolidated and Further Continuing Appropriations Act, 2012 (Pub. L. No.</w:t>
      </w:r>
      <w:r xml:space="preserve">
        <w:t> </w:t>
      </w:r>
      <w:r>
        <w:t xml:space="preserve">112-55).</w:t>
      </w:r>
      <w:r xml:space="preserve">
        <w:t> </w:t>
      </w:r>
      <w:r xml:space="preserve">
        <w:t> </w:t>
      </w:r>
      <w:r>
        <w:t xml:space="preserve">Notwithstanding Subsection (f)(2),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 that of the replaced structure as that structure existed before the casualty or damage occurred[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be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