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86R2631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w:t>
      </w:r>
      <w:r xml:space="preserve">
        <w:tab wTab="150" tlc="none" cTlc="0"/>
      </w:r>
      <w:r>
        <w:t xml:space="preserve">H.B.</w:t>
      </w:r>
      <w:r xml:space="preserve">
        <w:t> </w:t>
      </w:r>
      <w:r>
        <w:t xml:space="preserve">No.</w:t>
      </w:r>
      <w:r xml:space="preserve">
        <w:t> </w:t>
      </w:r>
      <w:r>
        <w:t xml:space="preserve">2400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application requirements for first responder organizations to receive an initial license or to renew a license.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773.003(16), Health and Safety Code, is amended to read as follows:</w:t>
      </w:r>
    </w:p>
    <w:p w:rsidR="003F3435" w:rsidRDefault="0032493E">
      <w:pPr>
        <w:spacing w:line="480" w:lineRule="auto"/>
        <w:ind w:firstLine="1440"/>
        <w:jc w:val="both"/>
      </w:pPr>
      <w:r>
        <w:t xml:space="preserve">(16)</w:t>
      </w:r>
      <w:r xml:space="preserve">
        <w:t> </w:t>
      </w:r>
      <w:r xml:space="preserve">
        <w:t> </w:t>
      </w:r>
      <w:r>
        <w:t xml:space="preserve">"First responder organization" means a group or association of certified emergency medical services personnel that, working in cooperation with a licensed emergency medical services provider, provides immediate on-scene care </w:t>
      </w:r>
      <w:r>
        <w:rPr>
          <w:u w:val="single"/>
        </w:rPr>
        <w:t xml:space="preserve">under the direction of a medical director</w:t>
      </w:r>
      <w:r>
        <w:t xml:space="preserve"> to ill or injured persons but does not transport those persons.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773, Health and Safety Code, is amended by adding Section 773.0416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773.0416.</w:t>
      </w:r>
      <w:r>
        <w:rPr>
          <w:u w:val="single"/>
        </w:rPr>
        <w:t xml:space="preserve"> </w:t>
      </w:r>
      <w:r>
        <w:rPr>
          <w:u w:val="single"/>
        </w:rPr>
        <w:t xml:space="preserve"> </w:t>
      </w:r>
      <w:r>
        <w:rPr>
          <w:u w:val="single"/>
        </w:rPr>
        <w:t xml:space="preserve">ADDITIONAL APPLICATION REQUIREMENTS FOR FIRST RESPONDER ORGANIZATIONS.  (a) </w:t>
      </w:r>
      <w:r>
        <w:rPr>
          <w:u w:val="single"/>
        </w:rPr>
        <w:t xml:space="preserve"> </w:t>
      </w:r>
      <w:r>
        <w:rPr>
          <w:u w:val="single"/>
        </w:rPr>
        <w:t xml:space="preserve">To the extent the rules adopted under this chapter require a first responder organization to submit an application for a license, each first responder organization shall include with an application for an initial or renewal license: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a first responder organization affiliated with an emergency medical services provider, notice of any disagreement regarding treatment protocols or equipment between the first responder organization's medical director and the emergency medical services provider's medical director;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first responder organization not affiliated with an emergency medical services provider: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proof that the first responder organization's medical director provided a copy of the organization's treatment protocols to the medical director of each emergency medical services provider that provides patient transport services for patients treated by the organization's personnel and that has an agreement with the organization;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notice of any disagreement regarding treatment protocols or equipment between the first responder organization's medical director and the medical director of each emergency medical services provider that has an agreement with the organization.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may not require a first responder organization to obtain the approval of an emergency medical services provider's medical director regarding treatment protocols or equipment for issuance of an initial or renewal first responder organization license.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773.0416, Health and Safety Code, as added by this Act, applies only to an application submitted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executive commissioner of the Health and Human Services Commission shall adopt any rules necessary to implement Section 773.0416, Health and Safety Code, as added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