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Deshotel, Beckley</w:t>
      </w:r>
      <w:r xml:space="preserve">
        <w:tab wTab="150" tlc="none" cTlc="0"/>
      </w:r>
      <w:r>
        <w:t xml:space="preserve">H.B.</w:t>
      </w:r>
      <w:r xml:space="preserve">
        <w:t> </w:t>
      </w:r>
      <w:r>
        <w:t xml:space="preserve">No.</w:t>
      </w:r>
      <w:r xml:space="preserve">
        <w:t> </w:t>
      </w:r>
      <w:r>
        <w:t xml:space="preserve">2401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requirement that state agency employees complete cybersecurity awareness training.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N-1, Chapter 2054, Government Code, is amended by adding Section 2054.5175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2054.5175.</w:t>
      </w:r>
      <w:r>
        <w:rPr>
          <w:u w:val="single"/>
        </w:rPr>
        <w:t xml:space="preserve"> </w:t>
      </w:r>
      <w:r>
        <w:rPr>
          <w:u w:val="single"/>
        </w:rPr>
        <w:t xml:space="preserve"> </w:t>
      </w:r>
      <w:r>
        <w:rPr>
          <w:u w:val="single"/>
        </w:rPr>
        <w:t xml:space="preserve">CYBERSECURITY AWARENESS TRAINING.  (a)  This section applies only to a state agency that is a department, commission, board, office, or other agency in the executive branch of state government. This section does not apply to an institution of higher education, as defined by Section 61.003,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agency shall require all employees of the agency who have access to the agency's network or online systems, including electronic mail or Internet access, to complete training on cybersecurity awareness. </w:t>
      </w:r>
      <w:r>
        <w:rPr>
          <w:u w:val="single"/>
        </w:rPr>
        <w:t xml:space="preserve"> </w:t>
      </w:r>
      <w:r>
        <w:rPr>
          <w:u w:val="single"/>
        </w:rPr>
        <w:t xml:space="preserve">The training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designed, administered, and maintained by a third-party vendor;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industry standards of content for cybersecurity training;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capable of training at least 100,000 people;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incorporate a management console allowing the entering of the employee's first name, last name, electronic mail address, state agency employer, and division in which the employee is employed;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track the progress of an employee in completing the training;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generate reports, including reports that display the progress in completing the training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division of a state agency;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state agency as a whole;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entire state workforce;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provide a flexible number of training licenses to accommodate an unknown number of employees being trained each year;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be regularly updated to include training about new cybersecurity threats;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have the ability to include content in addition to cybersecurity awareness training, including training on human resources policies and sexual harassment prevention;</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have the ability to display an image of the state seal or a state agency's seal or logo;</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have the ability to create groups and allow employees to be assigned to the groups;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have the ability to assign training requirements to specific groups of employees;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have the ability to send electronic mail notifications that are customizable to employees enrolled in the training.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