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86R26312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Bailes</w:t>
      </w:r>
      <w:r xml:space="preserve">
        <w:tab wTab="150" tlc="none" cTlc="0"/>
      </w:r>
      <w:r>
        <w:t xml:space="preserve">H.B.</w:t>
      </w:r>
      <w:r xml:space="preserve">
        <w:t> </w:t>
      </w:r>
      <w:r>
        <w:t xml:space="preserve">No.</w:t>
      </w:r>
      <w:r xml:space="preserve">
        <w:t> </w:t>
      </w:r>
      <w:r>
        <w:t xml:space="preserve">2404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2404:</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2404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office of first responder training support within the Bill Blackwood Law Enforcement Management Institute of Texas and to the provision of critical incident support training services to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96, Education Code, is amended by adding Section 96.642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96.642.</w:t>
      </w:r>
      <w:r>
        <w:rPr>
          <w:u w:val="single"/>
        </w:rPr>
        <w:t xml:space="preserve"> </w:t>
      </w:r>
      <w:r>
        <w:rPr>
          <w:u w:val="single"/>
        </w:rPr>
        <w:t xml:space="preserve"> </w:t>
      </w:r>
      <w:r>
        <w:rPr>
          <w:u w:val="single"/>
        </w:rPr>
        <w:t xml:space="preserve">OFFICE OF FIRST RESPONDER TRAINING SUPPORT.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"Critical incident stress management team" means a trained team of peer support responders and mental health professionals who provide support to first responders using an integrated multicomponent crisis intervention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Disaster Behavioral Health Services within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"Institute"</w:t>
      </w:r>
      <w:r>
        <w:rPr>
          <w:u w:val="single"/>
        </w:rPr>
        <w:t xml:space="preserve"> </w:t>
      </w:r>
      <w:r>
        <w:rPr>
          <w:u w:val="single"/>
        </w:rPr>
        <w:t xml:space="preserve">means the Bill Blackwood Law Enforcement Management Institute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"Office" means the office of first responder training support established by this section.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"Peer support responder" means an individual member of a peer support team who, as an employee, contractor, or volunteer of a public agency, provides services designed to give compassionate or coping support to a first responder involved in, witness to, or otherwise affected by a traumatic event.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"President"</w:t>
      </w:r>
      <w:r>
        <w:rPr>
          <w:u w:val="single"/>
        </w:rPr>
        <w:t xml:space="preserve"> </w:t>
      </w:r>
      <w:r>
        <w:rPr>
          <w:u w:val="single"/>
        </w:rPr>
        <w:t xml:space="preserve">means the president of Sam Houston State University.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"Public agency" has the meaning assigned by Section 2257.002,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shall establish an office of first responder training support within the institute.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president shall appoint a training support coordinator as the administrative head of the office.  Except as provided by Subsection (d), the training support coordinator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five years of experience as a first responder;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successfully completed training in providing critical incident stress management to first responders;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a professional ability to provide emotional and moral support to first responders.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training support coordinator has not completed the training required by Subsection (c)(2), the training support coordinator must complete the training as soon as practicable.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may coordinate with the department to establish a program for training individuals to serve on a critical incident stress management team. </w:t>
      </w:r>
      <w:r>
        <w:rPr>
          <w:u w:val="single"/>
        </w:rPr>
        <w:t xml:space="preserve"> </w:t>
      </w:r>
      <w:r>
        <w:rPr>
          <w:u w:val="single"/>
        </w:rPr>
        <w:t xml:space="preserve">An individual may not serve on a critical incident stress management team before the individual completes training in critical incident stress management at least as comprehensive as that provided by the International Critical Incident Stress Foundation.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provide assistance in gaining access to training at least as comprehensive as that provided by the International Critical Incident Stress Foundation for critical incident stress management teams. </w:t>
      </w:r>
      <w:r>
        <w:rPr>
          <w:u w:val="single"/>
        </w:rPr>
        <w:t xml:space="preserve"> </w:t>
      </w:r>
      <w:r>
        <w:rPr>
          <w:u w:val="single"/>
        </w:rPr>
        <w:t xml:space="preserve">The training courses may include instruction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suicide awareness;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suicide prevention;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suicide intervention for first responders;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behavioral health topics.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shall provide information about the department's critical incident stress management teams to an individual who completes the office's training.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and department shall share with first responders who have been involved in a critical incident information regarding the availability of the Post Critical Incident Seminar.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shall coordinate with qualified International Critical Incident Stress Foundation instructors to provide International Critical Incident Stress Foundation training to peer support responders.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may solicit and accept gifts, grants, and donations to implement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president shall adopt rules necessary to implement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does not place any restrictions on the type of training provided by or to any critical incident stress management team or peer support program outside of the institute.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president of Sam Houston State University shall adopt rules necessary to implement Section 96.642,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