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86R6939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2404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establishment of the office of first responder support within the Bill Blackwood Law Enforcement Management Institute of Texas and to the provision of critical incident support services to first responders; requiring occupational certification.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96, Education Code, is amended by adding Section 96.642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96.642.</w:t>
      </w:r>
      <w:r>
        <w:rPr>
          <w:u w:val="single"/>
        </w:rPr>
        <w:t xml:space="preserve"> </w:t>
      </w:r>
      <w:r>
        <w:rPr>
          <w:u w:val="single"/>
        </w:rPr>
        <w:t xml:space="preserve"> </w:t>
      </w:r>
      <w:r>
        <w:rPr>
          <w:u w:val="single"/>
        </w:rPr>
        <w:t xml:space="preserve">OFFICE OF FIRST RESPONDER SUPPORT.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"Critical incident support services" means services designed to provide compassionate or coping support to an individual who is involved in, a witness to, or otherwise affected by a traumatic event, including a series of events that results in a traumatic event.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responder" has the meaning assigned by Section 421.095,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"Institute"</w:t>
      </w:r>
      <w:r>
        <w:rPr>
          <w:u w:val="single"/>
        </w:rPr>
        <w:t xml:space="preserve"> </w:t>
      </w:r>
      <w:r>
        <w:rPr>
          <w:u w:val="single"/>
        </w:rPr>
        <w:t xml:space="preserve">means the Bill Blackwood Law Enforcement Management Institute of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"Office" means the office of first responder support established by this section.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"Peer counselor" means an individual who provides critical incident support services to a first responder as 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employee of the office;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employee or volunteer of a public agency.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"President"</w:t>
      </w:r>
      <w:r>
        <w:rPr>
          <w:u w:val="single"/>
        </w:rPr>
        <w:t xml:space="preserve"> </w:t>
      </w:r>
      <w:r>
        <w:rPr>
          <w:u w:val="single"/>
        </w:rPr>
        <w:t xml:space="preserve">means the president of Sam Houston State University.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"Public agency" has the meaning assigned by Section 2257.002,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president shall establish within the institute an office of first responder support.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president shall appoint a support coordinator as the administrative head of the office.  The support coordinator may also serve as a first responder or in another position within the institute.  The support coordinator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experience as a first responder;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successfully completed training in providing critical incident stress management to first responders;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demonstrate a professional ability to provide emotional and moral support to first responders.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create regional peer support teams of peer counselors to provide the services described by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at the request of a public agency may respond to and deploy a regional peer support team to provide peer counselors and critical incident support services to the agency and the agency's first responders who are experiencing post-traumatic stress disorder or other trauma associated with performing the duties of a first responder. </w:t>
      </w:r>
      <w:r>
        <w:rPr>
          <w:u w:val="single"/>
        </w:rPr>
        <w:t xml:space="preserve"> </w:t>
      </w:r>
      <w:r>
        <w:rPr>
          <w:u w:val="single"/>
        </w:rPr>
        <w:t xml:space="preserve">The office may not deploy a team member if the member is an employee of the public agency that employs a first responder to whom the team might provide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shall establish a program for certifying individuals to serve on a regional peer support team and provide critical incident support services to first responders and establish the qualifications necessary for certification. </w:t>
      </w:r>
      <w:r>
        <w:rPr>
          <w:u w:val="single"/>
        </w:rPr>
        <w:t xml:space="preserve"> </w:t>
      </w:r>
      <w:r>
        <w:rPr>
          <w:u w:val="single"/>
        </w:rPr>
        <w:t xml:space="preserve">The program must require that the individual complete training in critical incident stress management provided by the International Critical Incident Stress Foundation or training in another similar training system. </w:t>
      </w:r>
      <w:r>
        <w:rPr>
          <w:u w:val="single"/>
        </w:rPr>
        <w:t xml:space="preserve"> </w:t>
      </w:r>
      <w:r>
        <w:rPr>
          <w:u w:val="single"/>
        </w:rPr>
        <w:t xml:space="preserve">An individual may not provide the support services to a first responder as part of a regional peer support team under this section unless the individual holds the certification required by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shall develop a training course on critical incident stress management and other related matters for the benefit of first responders who are not members of a regional peer support team.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(i), communications between a peer counselor and a first responder receiving critical incident support services from the counselor are confidential and privileged and may not be disclosed.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confidentiality and privilege provisions of Subsection (h) do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is authorized by the first responder;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first responder is deceased and the disclosure is authorized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executor or administrator of the first responder's estate;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first responder's next of kin if an executor or administrator is not appointed;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disclosure is compelled by a court 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peer counselor was a first responder, witness, or party to the incident that is the subject of the counseling;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communication was made when the peer counselor was not performing official duties as a peer counselor;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first responder is charged with a criminal offense;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disclosure is otherwise required by law.</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office may solicit and accept gifts, grants, and donations to implement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president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president of Sam Houston State University shall adopt rules necessary to implement Section 96.642,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