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86R12011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J. Johnson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preauthorization by certain health benefit plan issuers of certain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1356.005, Insurance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that provides coverage under this section may not require preauthorization of a screening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1357.004, Insurance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that provides coverage under this section may not require preauthorization of a reconstruction, surgery, prostheses, or treatment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1357.054, Insurance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that provides coverage under this section may not require preauthorization for inpatient care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1358.054, Insurance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that provides coverage under this section may not require a qualified enrollee to obtain preauthorization for diabetes equipment, diabetes supplies, or self-management training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1361.003,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1361.003.</w:t>
      </w:r>
      <w:r xml:space="preserve">
        <w:t> </w:t>
      </w:r>
      <w:r xml:space="preserve">
        <w:t> </w:t>
      </w:r>
      <w:r>
        <w:t xml:space="preserve">COVERAGE REQUIRED.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A group health benefit plan must provide to a qualified enrollee coverage for medically accepted bone mass measurement to detect low bone mass and to determine the enrollee's risk of osteoporosis and fractures associated with osteoporosis.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health benefit plan issuer that provides coverage under this section may not require a qualified enrollee to obtain preauthorization for a bone mass measurement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1362.003, Insurance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that provides coverage under this section to an enrolled male may not require preauthorization of a diagnostic examination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1363.003, Insurance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that provides coverage under this section may not require preauthorization of a screening examination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health benefit plan that is delivered, issued for delivery, or renewed on or after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