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86R4730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2411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early voting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84.011,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requirements imposed by Subsection (a), the officially prescribed application form for an early voting ballot must include a space for the voter to provide a change of residence address within the county, if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 87.0271(b) or 87.0411(b)</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application includes a change of address within the county, the early voting clerk shall notify the voter registrar of the change and the registrar shall update the voter's registration accordingly.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the clerk is not required to provide a form for a statement of residence to a voter who indicated a change of address within the county on the voter's application for an early voting ballot to be voted by mail.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87.027, the signature verification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signature verification committee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signature verification committee takes an action described by Subsection (b), the committee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87.041, the early voting ballot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early voting ballot board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early voting ballot board takes an action described by Subsection (b), the board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