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2417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contributions for health benefit plan coverage under the Texas Public School Retired Employees Group Benefits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1575.212,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trustee may not increase the payments under Subsection (a-1) for a biennium in which the Legislature does not increase annuities under Chapter 824,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