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86R13206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written response by the General Land Office to a request by a governmental entity to use certain real property owned by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31, Natural Resources Code, is amended by adding Section 31.069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RESPONSE TO REQUEST TO USE CERTAIN REAL PROPERTY OWNED BY STATE.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 or the commissioner's designee shall respond in writing to a written request by a political subdivision or state agency for approval of the use of real property owned by the state that is administered by the land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written response made under this section, if the request is denied, must provide a reason for the denial.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