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Schwertner)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2425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15,</w:t>
      </w:r>
      <w:r xml:space="preserve">
        <w:t> </w:t>
      </w:r>
      <w:r>
        <w:t xml:space="preserve">2019; April</w:t>
      </w:r>
      <w:r xml:space="preserve">
        <w:t> </w:t>
      </w:r>
      <w:r>
        <w:t xml:space="preserve">16,</w:t>
      </w:r>
      <w:r xml:space="preserve">
        <w:t> </w:t>
      </w:r>
      <w:r>
        <w:t xml:space="preserve">2019, read first time and referred to Committee on Health &amp; Human Services; May</w:t>
      </w:r>
      <w:r xml:space="preserve">
        <w:t> </w:t>
      </w:r>
      <w:r>
        <w:t xml:space="preserve">8,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8,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Seliger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physicians to delegate to certain pharmacists the implementation and modification of a patient's drug therapy.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157.101, Occupations Code, is amended by amending Subsection (b-1) and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A delegation under Subsection (b) may include the implementation or modification of a patient's drug therapy under a protocol, including the authority to sign a prescription drug order for dangerous drugs,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delegation follows a diagnosis, initial patient assessment, and drug therapy order by the physician;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pharmacist practices in a </w:t>
      </w:r>
      <w:r>
        <w:rPr>
          <w:u w:val="single"/>
        </w:rPr>
        <w:t xml:space="preserve">federally qualified health center, a</w:t>
      </w:r>
      <w:r>
        <w:t xml:space="preserve"> hospital, </w:t>
      </w:r>
      <w:r>
        <w:rPr>
          <w:u w:val="single"/>
        </w:rPr>
        <w:t xml:space="preserve">a</w:t>
      </w:r>
      <w:r>
        <w:t xml:space="preserve"> </w:t>
      </w:r>
      <w:r>
        <w:t xml:space="preserve">hospital-based clinic, or an academic health care institution;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federally qualified health center,</w:t>
      </w:r>
      <w:r>
        <w:t xml:space="preserve"> hospital, hospital-based clinic, or academic health care institution in which the pharmacist practices has bylaws and a medical staff policy that permit a physician to delegate to a pharmacist the management of a patient's drug therapy;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pharmacist provides the name, address, and telephone number of the pharmacist and of the delegating physician on each prescription signed by the pharmacist;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pharmacist provides a copy of the protocol to the Texas State Board of Pharmacy.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"federally qualified health center" has the meaning assigned by Section 531.02192,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