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86R10960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Voting Rights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Election Code, is amended by adding Chapter 5 to read as follows:</w:t>
      </w:r>
    </w:p>
    <w:p w:rsidR="003F3435" w:rsidRDefault="0032493E">
      <w:pPr>
        <w:spacing w:line="480" w:lineRule="auto"/>
        <w:jc w:val="center"/>
      </w:pPr>
      <w:r>
        <w:rPr>
          <w:u w:val="single"/>
        </w:rPr>
        <w:t xml:space="preserve">CHAPTER 5.  TEXAS VOTING RIGHTS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As used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"At-large election" means any of the following methods of electing members to the governing body of a political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in which the voters of the entire jurisdiction elect the members to the governing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in which the candidates are required to reside within given areas of the jurisdiction and the voters of the entire jurisdiction elect the members to the governing body;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that combines at-large elections with district-based elections.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"District-based election"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"Protected class" means a class of voters who are members of a race, color, or language minority group, as this class is defined in the federal Voting Rights Act of 1965 (52 U.S.C. Section 10101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"Racially polarized voting" means voting in which there is a difference, as defined in case law regarding enforcement of the federal Voting Rights Act of 1965 (52 U.S.C. Section 10101 et seq.), in the choice of candidates or other electoral choices that are preferred by voters in a protected class, and in the choice of candidates and electoral choices that are preferred by voters in the rest of the electorate.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PURPOSE.  The Texas Voting Rights Act is enacted to implement the guarantees of Sections 3a and 19, Article I, and Section 2, Article 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METHODOLOGIES.  The methodologies for estimating group voting behavior as approved in applicable federal cases to enforce the federal Voting Rights Act of 1965 (52 U.S.C. Section 10101 et seq.) to establish racially polarized voting may be used for purposes of this chapter to prove that elections are characterized by racially polarized voting.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5.004.</w:t>
      </w:r>
      <w:r>
        <w:rPr>
          <w:u w:val="single"/>
        </w:rPr>
        <w:t xml:space="preserve"> </w:t>
      </w:r>
      <w:r>
        <w:rPr>
          <w:u w:val="single"/>
        </w:rPr>
        <w:t xml:space="preserve"> </w:t>
      </w:r>
      <w:r>
        <w:rPr>
          <w:u w:val="single"/>
        </w:rPr>
        <w:t xml:space="preserve">RESTRICTION ON METHOD OF ELECTION.  If it is shown that racially polarized voting occurs in elections for members of the governing body of a political subdivision, a method of election may not be imposed or applied in a manner that impairs the ability of a protected class to elect candidates of its choice or its ability to influence the outcome of an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5.005.</w:t>
      </w:r>
      <w:r>
        <w:rPr>
          <w:u w:val="single"/>
        </w:rPr>
        <w:t xml:space="preserve"> </w:t>
      </w:r>
      <w:r>
        <w:rPr>
          <w:u w:val="single"/>
        </w:rPr>
        <w:t xml:space="preserve"> </w:t>
      </w:r>
      <w:r>
        <w:rPr>
          <w:u w:val="single"/>
        </w:rPr>
        <w:t xml:space="preserve">RELEVANT FACTORS.  (a)  Elections conducted before the filing of an action are more probative to establish the existence of racially polarized voting than elections conducted after the filing of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occurrence of racially polarized voting shall be determined from an examination of results of elections in which at least one candidate is a member of a protected class or elections involving ballot measures, or other electoral choices that affect the rights and privileges of members of a protected class.  One circumstance that may be considered is the extent to which candidates who are members of a protected class and who are preferred by voters of the protected class, as determined by an analysis of voting behavior, have been elected to the governing body of a political subdivision that is the subject of an action based on Section 5.004. </w:t>
      </w:r>
      <w:r>
        <w:rPr>
          <w:u w:val="single"/>
        </w:rPr>
        <w:t xml:space="preserve"> </w:t>
      </w:r>
      <w:r>
        <w:rPr>
          <w:u w:val="single"/>
        </w:rPr>
        <w:t xml:space="preserve">In multiseat at-large election districts, where the number of candidates who are members of a protected class is lower than the number of seats available, the relative class-wide support received by candidates from members of a protected class shall be the basis for the racial polarization analysis.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fact that members of a protected class are not geographically compact or concentrated may not preclude establishing racially polarized voting or finding a violation of Section 5.004 but may be a factor in determining an appropriate remedy for a violation of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Proof of intent on the part of the voters or elected officials to discriminate against a protected class is not required.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Other factors such as the history of discrimination, the use of electoral devices or other voting practices or procedures that may enhance the dilutive effects of a method of election,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Section 5.004.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5.006.</w:t>
      </w:r>
      <w:r>
        <w:rPr>
          <w:u w:val="single"/>
        </w:rPr>
        <w:t xml:space="preserve"> </w:t>
      </w:r>
      <w:r>
        <w:rPr>
          <w:u w:val="single"/>
        </w:rPr>
        <w:t xml:space="preserve"> </w:t>
      </w:r>
      <w:r>
        <w:rPr>
          <w:u w:val="single"/>
        </w:rPr>
        <w:t xml:space="preserve">REMEDY.  On a finding of a violation of Section 5.004, the court shall implement appropriate remedies, including the imposition of district-based elections, that are tailored to remedy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5.007.</w:t>
      </w:r>
      <w:r>
        <w:rPr>
          <w:u w:val="single"/>
        </w:rPr>
        <w:t xml:space="preserve"> </w:t>
      </w:r>
      <w:r>
        <w:rPr>
          <w:u w:val="single"/>
        </w:rPr>
        <w:t xml:space="preserve"> </w:t>
      </w:r>
      <w:r>
        <w:rPr>
          <w:u w:val="single"/>
        </w:rPr>
        <w:t xml:space="preserve">CIVIL ACTION.  Any voter who is a member of a protected class and who resides in a political subdivision where a violation of Section 5.004 is alleged may bring a civil action to enforce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