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86R11131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2437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A person may recover reasonable attorney's fees from an individual or corporation, in addition to the amount of a valid claim and costs, if </w:t>
      </w:r>
      <w:r>
        <w:rPr>
          <w:u w:val="single"/>
        </w:rPr>
        <w:t xml:space="preserve">the person is the prevailing party and</w:t>
      </w:r>
      <w:r>
        <w:t xml:space="preserve">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