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or renovation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Government Code, is amended by adding Subtitle Z to read as follows:</w:t>
      </w:r>
    </w:p>
    <w:p w:rsidR="003F3435" w:rsidRDefault="0032493E">
      <w:pPr>
        <w:spacing w:line="480" w:lineRule="auto"/>
        <w:jc w:val="center"/>
      </w:pPr>
      <w:r>
        <w:rPr>
          <w:u w:val="single"/>
        </w:rPr>
        <w:t xml:space="preserve">SUBTITLE Z. MISCELLANEOUS PROVISIONS PROHIBITING CERTAIN GOVERNMENTAL ACTIONS</w:t>
      </w:r>
    </w:p>
    <w:p w:rsidR="003F3435" w:rsidRDefault="0032493E">
      <w:pPr>
        <w:spacing w:line="480" w:lineRule="auto"/>
        <w:jc w:val="center"/>
      </w:pPr>
      <w:r>
        <w:rPr>
          <w:u w:val="single"/>
        </w:rPr>
        <w:t xml:space="preserve">CHAPTER 3000. GOVERNMENTAL ACTION AFFECTING RESIDENTIAL AND COMMERCIAL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"National model code" has the meaning assigned by Section 214.217,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2007.002.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CERTAIN REGULATIONS REGARDING BUILDING PRODUCTS, MATERIALS, OR METHODS PROHIBITED.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(d), a governmental entity may not adopt or enforce a rule, charter provision, ordinance, order, building code, or other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ordinance or other regulation that regulates outdoor lighting that is adopted for the purpose of reducing light pollution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adopted by a governmental entity that is certified as a Dark Sky Community by the International Dark-Sky Association as part of the International Dark Sky Places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to outdoor lighting within five miles of the boundary of a military base in which an active training program is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ordinance or 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outdoor lighting;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adopted under Subchapter B, Chapter 229, Local Government Code, or Subchapter B, Chapter 240, Local Government Code;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certified local government under the National Historic Preservation Act (54 U.S.C. Section 300101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building located in an area designated as a historic district on the National Register of Historic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building designated as a Recorded Texas Historic Landmark;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building designated as a State Archeological Landmark or State Antiquities Landmark;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building listed on the National Register of Historic Places or designated as a landmark by a governmental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building located in a World Heritage Buffer Zone;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is not a municipality described by Subsection (c)(5)(A) or (B) may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rule, charter provision, ordinance, order, building code, or other regulation adopted by a governmental entity that conflicts with this section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INJUNCTION.  (a)  The attorney general or an aggrieved party may file an action in district court to enjoin a violation or threatened violation of Section 3000.002.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grant appropriate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costs incurred in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and governmental immunity to suit is waived and abolished only to the extent necessary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OTHER PROVISIONS NOT AFFECTED. </w:t>
      </w:r>
      <w:r>
        <w:rPr>
          <w:u w:val="single"/>
        </w:rPr>
        <w:t xml:space="preserve"> </w:t>
      </w:r>
      <w:r>
        <w:rPr>
          <w:u w:val="single"/>
        </w:rPr>
        <w:t xml:space="preserve">This chapter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3000.005.</w:t>
      </w:r>
      <w:r>
        <w:rPr>
          <w:u w:val="single"/>
        </w:rPr>
        <w:t xml:space="preserve"> </w:t>
      </w:r>
      <w:r>
        <w:rPr>
          <w:u w:val="single"/>
        </w:rPr>
        <w:t xml:space="preserve"> </w:t>
      </w:r>
      <w:r>
        <w:rPr>
          <w:u w:val="single"/>
        </w:rPr>
        <w:t xml:space="preserve">SEVERABILITY.  If 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2439 was passed by the House on April 30, 2019, by the following vote:</w:t>
      </w:r>
      <w:r xml:space="preserve">
        <w:t> </w:t>
      </w:r>
      <w:r xml:space="preserve">
        <w:t> </w:t>
      </w:r>
      <w:r>
        <w:t xml:space="preserve">Yeas 124, Nays 21, 2 present, not voting; and that the House concurred in Senate amendments to H.B. No. 2439 on May 23, 2019, by the following vote:</w:t>
      </w:r>
      <w:r xml:space="preserve">
        <w:t> </w:t>
      </w:r>
      <w:r xml:space="preserve">
        <w:t> </w:t>
      </w:r>
      <w:r>
        <w:t xml:space="preserve">Yeas 133,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2439 was passed by the Senate, with amendments, on May 19,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