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86R22029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Rodriguez, Collier, Schaefer</w:t>
      </w:r>
      <w:r xml:space="preserve">
        <w:tab wTab="150" tlc="none" cTlc="0"/>
      </w:r>
      <w:r>
        <w:t xml:space="preserve">H.B.</w:t>
      </w:r>
      <w:r xml:space="preserve">
        <w:t> </w:t>
      </w:r>
      <w:r>
        <w:t xml:space="preserve">No.</w:t>
      </w:r>
      <w:r xml:space="preserve">
        <w:t> </w:t>
      </w:r>
      <w:r>
        <w:t xml:space="preserve">2439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2439:</w:t>
      </w: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C.S.H.B.</w:t>
      </w:r>
      <w:r xml:space="preserve">
        <w:t> </w:t>
      </w:r>
      <w:r>
        <w:t xml:space="preserve">No.</w:t>
      </w:r>
      <w:r xml:space="preserve">
        <w:t> </w:t>
      </w:r>
      <w:r>
        <w:t xml:space="preserve">2439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or renovation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Government Code, is amended by adding Subtitle Z to read as follows:</w:t>
      </w:r>
    </w:p>
    <w:p w:rsidR="003F3435" w:rsidRDefault="0032493E">
      <w:pPr>
        <w:spacing w:line="480" w:lineRule="auto"/>
        <w:jc w:val="center"/>
      </w:pPr>
      <w:r>
        <w:rPr>
          <w:u w:val="single"/>
        </w:rPr>
        <w:t xml:space="preserve">SUBTITLE Z. MISCELLANEOUS PROVISIONS PROHIBITING CERTAIN GOVERNMENTAL ACTIONS</w:t>
      </w:r>
    </w:p>
    <w:p w:rsidR="003F3435" w:rsidRDefault="0032493E">
      <w:pPr>
        <w:spacing w:line="480" w:lineRule="auto"/>
        <w:jc w:val="center"/>
      </w:pPr>
      <w:r>
        <w:rPr>
          <w:u w:val="single"/>
        </w:rPr>
        <w:t xml:space="preserve">CHAPTER 3000. GOVERNMENTAL ACTION AFFECTING RESIDENTIAL AND COMMERCIAL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"National model code" has the meaning assigned by Section 214.217,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2007.002.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CERTAIN REGULATIONS REGARDING BUILDING PRODUCTS, MATERIALS, OR METHODS PROHIBITED.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(d), a governmental entity may not adopt or enforce a rule, charter provision, ordinance, order, building code, or other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certified local government under the National Historic Preservation Act (54 U.S.C. Section 300101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building located in an area designated as a historic district on the National Register of Historic Places;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building designated as a Recorded Texas Historic Landmark;</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building designated as a State Archeological Landmark or State Antiquities Landmark;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building listed on the National Register of Historic Places or designated as a landmark by a governmental entity;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building located in a World Heritage Buffer Zone;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is not a certified local government under the National Historic Preservation Act (54 U.S.C. 300101 et seq.) may adopt or enforce a regulation described by Subsection (a) that applies to a building located in a place or area designated on or after April 1, 2019, by a municipality for its historical, cultural, or architectural importance and significance, if the municipality has the voluntary consent from the building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rule, charter provision, ordinance, order, building code, or other regulation adopted by a governmental entity that conflicts with this section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INJUNCTION.  (a)  The attorney general or an aggrieved party may file an action in district court to enjoin a violation or threatened violation of Section 3000.002.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grant appropriate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costs incurred in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and governmental immunity to suit is waived and abolished only to the extent necessary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OTHER PROVISIONS NOT AFFECTED. </w:t>
      </w:r>
      <w:r>
        <w:rPr>
          <w:u w:val="single"/>
        </w:rPr>
        <w:t xml:space="preserve"> </w:t>
      </w:r>
      <w:r>
        <w:rPr>
          <w:u w:val="single"/>
        </w:rPr>
        <w:t xml:space="preserve">This chapter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3000.005.</w:t>
      </w:r>
      <w:r>
        <w:rPr>
          <w:u w:val="single"/>
        </w:rPr>
        <w:t xml:space="preserve"> </w:t>
      </w:r>
      <w:r>
        <w:rPr>
          <w:u w:val="single"/>
        </w:rPr>
        <w:t xml:space="preserve"> </w:t>
      </w:r>
      <w:r>
        <w:rPr>
          <w:u w:val="single"/>
        </w:rPr>
        <w:t xml:space="preserve">SEVERABILITY.  If 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